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ZFdG 2021 — Schadensersatz in Informationssystemen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(1) Bei der Datenverarbeitung in den Informationssystemen der Behörden des Zollfahndungsdienstes gilt das Zollkriminalamt gegenüber einer betroffenen Person als allein Verantwortlicher im Sinne von § 83 Absatz 1 des Bundesdatenschutzgesetzes. § 83 Absatz 3 des Bundesdatenschutzgesetzes findet keine Anwendung.</w:t>
      </w:r>
    </w:p>
    <w:p>
      <w:r>
        <w:t xml:space="preserve">(2) In den Fällen des Absatzes 1 ist der Schaden im Innenverhältnis auszugleichen, soweit er der datenschutzrechtlichen Verantwortung einer anderen Stelle zuzurechnen ist.</w:t>
      </w:r>
    </w:p>
    <w:p>
      <w:r>
        <w:rPr>
          <w:color w:val="555555"/>
          <w:sz w:val="17"/>
        </w:rPr>
        <w:t xml:space="preserve">Zitiervorschlag: § 103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https://recht.nulegal.eu/gesetze/ZFdG%202021/103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