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ZFS (Nordrhein-Westfalen) — Zweck der Satzung</w:t>
      </w:r>
    </w:p>
    <w:p>
      <w:r>
        <w:rPr>
          <w:color w:val="555555"/>
          <w:sz w:val="18"/>
        </w:rPr>
        <w:t xml:space="preserve">Satzung Zulassungsfreiheit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regelt die Konkretisierung der Zulassungsfreiheit nach § 54 Abs. 1 MStV.</w:t>
      </w:r>
    </w:p>
    <w:p>
      <w:r>
        <w:rPr>
          <w:color w:val="555555"/>
          <w:sz w:val="17"/>
        </w:rPr>
        <w:t xml:space="preserve">Zitiervorschlag: § 1 ZFS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https://recht.nulegal.eu/gesetze/ZFS/1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