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ZESV — Geschäftsstelle</w:t>
      </w:r>
    </w:p>
    <w:p>
      <w:r>
        <w:rPr>
          <w:color w:val="555555"/>
          <w:sz w:val="18"/>
        </w:rPr>
        <w:t xml:space="preserve">ZES-Verordnung</w:t>
      </w:r>
    </w:p>
    <w:p>
      <w:r>
        <w:rPr>
          <w:color w:val="555555"/>
          <w:sz w:val="18"/>
        </w:rPr>
        <w:t xml:space="preserve">Stand: 10.06.2019 (konsolidierte Textfassung, kein amtliches Inkrafttretensdatum)</w:t>
      </w:r>
    </w:p>
    <w:p>
      <w:r>
        <w:t xml:space="preserve">(1) Die Kommission hat ihre Geschäftsstelle bei der zuständigen Behörde.</w:t>
      </w:r>
    </w:p>
    <w:p>
      <w:r>
        <w:t xml:space="preserve">(2) Die Geschäftsstelle führt die laufenden Geschäfte der Kommission einschließlich der Vorbereitung und Übermittlung der Stellungnahmen der Kommission an die zuständige Behörde. Sie unterstützt die Kommission sowie ihre Mitglieder und stellvertretenden Mitglieder bei der Wahrnehmung ihrer Aufgaben.</w:t>
      </w:r>
    </w:p>
    <w:p>
      <w:r>
        <w:t xml:space="preserve">(3) Die Geschäftsstelle nimmt die an die Kommission gerichteten Anforderungen der zuständigen Behörde auf Abgabe von Stellungnahmen entgegen, unterrichtet die zuständige Behörde bei Unvollständigkeit oder sonstigen offensichtlichen Mängeln der Antragsunterlagen nach § 6 Abs. 2 des Stammzellgesetzes unverzüglich und sorgt für die fristgerechte Abgabe der Stellungnahmen durch die Kommission.</w:t>
      </w:r>
    </w:p>
    <w:p>
      <w:r>
        <w:rPr>
          <w:color w:val="555555"/>
          <w:sz w:val="17"/>
        </w:rPr>
        <w:t xml:space="preserve">Zitiervorschlag: § 8 ZESV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