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ZESV — Vorsitz und Stellvertretung</w:t>
      </w:r>
    </w:p>
    <w:p>
      <w:r>
        <w:rPr>
          <w:color w:val="555555"/>
          <w:sz w:val="18"/>
        </w:rPr>
        <w:t xml:space="preserve">ZES-Verordnung</w:t>
      </w:r>
    </w:p>
    <w:p>
      <w:r>
        <w:rPr>
          <w:color w:val="555555"/>
          <w:sz w:val="18"/>
        </w:rPr>
        <w:t xml:space="preserve">Stand: 10.06.2019 (konsolidierte Textfassung, kein amtliches Inkrafttretensdatum)</w:t>
      </w:r>
    </w:p>
    <w:p>
      <w:r>
        <w:t xml:space="preserve">Die Mitglieder oder die stimmberechtigten stellvertretenden Mitglieder (§ 10 Abs. 4) wählen aus dem Kreis der Mitglieder eine Person für den Vorsitz (vorsitzendes Mitglied) und zwei Personen für die Stellvertretung. Die Wahl erfolgt für die Dauer von drei Jahren, längstens jedoch für die Dauer der Mitgliedschaft. Die Wiederwahl ist zulässig.</w:t>
      </w:r>
    </w:p>
    <w:p>
      <w:r>
        <w:rPr>
          <w:color w:val="555555"/>
          <w:sz w:val="17"/>
        </w:rPr>
        <w:t xml:space="preserve">Zitiervorschlag: § 5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