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ZESV — Zusammenarbeit mit der zuständigen Behörde</w:t>
      </w:r>
    </w:p>
    <w:p>
      <w:r>
        <w:rPr>
          <w:color w:val="555555"/>
          <w:sz w:val="18"/>
        </w:rPr>
        <w:t xml:space="preserve">ZES-Verordnung</w:t>
      </w:r>
    </w:p>
    <w:p>
      <w:r>
        <w:rPr>
          <w:color w:val="555555"/>
          <w:sz w:val="18"/>
        </w:rPr>
        <w:t xml:space="preserve">Stand: 10.06.2019 (konsolidierte Textfassung, kein amtliches Inkrafttretensdatum)</w:t>
      </w:r>
    </w:p>
    <w:p>
      <w:r>
        <w:t xml:space="preserve">(1) Die Kommission soll spätestens sechs Wochen, nachdem ihr die Anforderung der zuständigen Behörde und die vollständigen Antragsunterlagen nach § 6 Abs. 2 des Stammzellgesetzes vorliegen, ihre Stellungnahme der zuständigen Behörde übermitteln. Die zuständige Behörde kann die Frist auf Antrag um höchstens vier Wochen verlängern.</w:t>
      </w:r>
    </w:p>
    <w:p>
      <w:r>
        <w:t xml:space="preserve">(2) Die Stellungnahme ist zu begründen. Sie soll die tragenden Erwägungsgründe einschließlich der maßgeblichen Gründe für die Bewertung der Hochrangigkeit der geplanten Forschungsarbeiten und das Abstimmungsergebnis enthalten. Sie muss im Fall des § 11 Abs. 3 auch die Minderheitsvoten enthalten.</w:t>
      </w:r>
    </w:p>
    <w:p>
      <w:r>
        <w:rPr>
          <w:color w:val="555555"/>
          <w:sz w:val="17"/>
        </w:rPr>
        <w:t xml:space="preserve">Zitiervorschlag: § 13 ZESV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