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ZESV — Beschlussfassung</w:t>
      </w:r>
    </w:p>
    <w:p>
      <w:r>
        <w:rPr>
          <w:color w:val="555555"/>
          <w:sz w:val="18"/>
        </w:rPr>
        <w:t xml:space="preserve">ZES-Verordnung</w:t>
      </w:r>
    </w:p>
    <w:p>
      <w:r>
        <w:rPr>
          <w:color w:val="555555"/>
          <w:sz w:val="18"/>
        </w:rPr>
        <w:t xml:space="preserve">Stand: 10.06.2019 (konsolidierte Textfassung, kein amtliches Inkrafttretensdatum)</w:t>
      </w:r>
    </w:p>
    <w:p>
      <w:r>
        <w:t xml:space="preserve">(1) Die Kommission ist beschlussfähig, wenn alle Mitglieder geladen und mindestens fünf Mitglieder oder stimmberechtigte stellvertretende Mitglieder anwesend sind.</w:t>
      </w:r>
    </w:p>
    <w:p>
      <w:r>
        <w:t xml:space="preserve">(2) Die Kommission beschließt auf der Grundlage der Berichte und Voten der Berichterstatter mit der Mehrheit der anwesenden Mitglieder oder stimmberechtigten stellvertretenden Mitglieder.</w:t>
      </w:r>
    </w:p>
    <w:p>
      <w:r>
        <w:t xml:space="preserve">(3) Jedes überstimmte Mitglied oder stimmberechtigte stellvertretende Mitglied kann verlangen, dass der Stellungnahme der Kommission ein schriftliches Minderheitsvotum angefügt wird. Das Minderheitsvotum ist zu begründen. Aus der Begründung muss sich ergeben, auf welchen Einzelerwägungen die Ablehnung der Stellungnahme beruht.</w:t>
      </w:r>
    </w:p>
    <w:p>
      <w:r>
        <w:t xml:space="preserve">(4) Die Kommission kann im schriftlichen Verfahren entscheiden, wenn die Berichterstatter übereinstimmende Voten abgeben. Das Nähere regelt die Kommission in ihrer Geschäftsordnung.</w:t>
      </w:r>
    </w:p>
    <w:p>
      <w:r>
        <w:rPr>
          <w:color w:val="555555"/>
          <w:sz w:val="17"/>
        </w:rPr>
        <w:t xml:space="preserve">Zitiervorschlag: § 11 ZESV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