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ZESV — Zuständige Behörde</w:t>
      </w:r>
    </w:p>
    <w:p>
      <w:r>
        <w:rPr>
          <w:color w:val="555555"/>
          <w:sz w:val="18"/>
        </w:rPr>
        <w:t xml:space="preserve">ZES-Verordnung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Zuständige Behörde nach § 7 Abs. 1 Satz 1 des Stammzellgesetzes ist das Robert Koch-Institut.</w:t>
      </w:r>
    </w:p>
    <w:p>
      <w:r>
        <w:t xml:space="preserve">(2) Die Zuständigkeit für die Verfolgung und Ahndung von Ordnungswidrigkeiten nach § 14 Absatz 1 des Stammzellgesetzes wird auf das Robert Koch-Institut übertragen.</w:t>
      </w:r>
    </w:p>
    <w:p>
      <w:r>
        <w:rPr>
          <w:color w:val="555555"/>
          <w:sz w:val="17"/>
        </w:rPr>
        <w:t xml:space="preserve">Zitiervorschlag: § 1 ZESV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