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ZEPRV (Bayern) — Inkrafttreten</w:t>
      </w:r>
    </w:p>
    <w:p>
      <w:r>
        <w:rPr>
          <w:color w:val="555555"/>
          <w:sz w:val="18"/>
        </w:rPr>
        <w:t xml:space="preserve">Verordnung über das zentrale elektronische Personenstandsregister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2013 in Kraft.</w:t>
      </w:r>
    </w:p>
    <w:p>
      <w:r>
        <w:t xml:space="preserve">(2) Abweichend von Abs. 1 tritt § 4 Abs. 3 am 1. Januar 2014 in Kraft.</w:t>
      </w:r>
    </w:p>
    <w:p>
      <w:r>
        <w:rPr>
          <w:color w:val="555555"/>
          <w:sz w:val="17"/>
        </w:rPr>
        <w:t xml:space="preserve">Zitiervorschlag: § 5 ZEPRV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https://recht.nulegal.eu/gesetze/ZEPRV/5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