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ZDVG — Unfallschutz</w:t>
      </w:r>
    </w:p>
    <w:p>
      <w:r>
        <w:rPr>
          <w:color w:val="555555"/>
          <w:sz w:val="18"/>
        </w:rPr>
        <w:t xml:space="preserve">Zivildienstvertrauensmann-Gesetz</w:t>
      </w:r>
    </w:p>
    <w:p>
      <w:r>
        <w:rPr>
          <w:color w:val="555555"/>
          <w:sz w:val="18"/>
        </w:rPr>
        <w:t xml:space="preserve">Stand: 10.06.2019 (konsolidierte Textfassung, kein amtliches Inkrafttretensdatum)</w:t>
      </w:r>
    </w:p>
    <w:p>
      <w:r>
        <w:t xml:space="preserve">Erleidet ein Dienstleistender anläßlich der Wahrnehmung von Rechten oder der Erfüllung von Pflichten nach diesem Gesetz durch einen Unfall eine gesundheitliche Schädigung, die im Sinne des Zivildienstgesetzes eine Zivildienstbeschädigung wäre, so finden § 35 Abs. 5 und 8, § 47 und die §§ 49 bis 51 des Zivildienstgesetzes entsprechende Anwendung.</w:t>
      </w:r>
    </w:p>
    <w:p>
      <w:r>
        <w:rPr>
          <w:color w:val="555555"/>
          <w:sz w:val="17"/>
        </w:rPr>
        <w:t xml:space="preserve">Zitiervorschlag: § 6 ZDVG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