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ZDVG — Beteiligung des Betriebs- oder Personalrats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Vertrauensmann kann an Sitzungen des Betriebs- oder Personalrats der Dienststelle beratend teilnehmen, wenn Angelegenheiten behandelt werden, die auch die Dienstleistenden betreffen.</w:t>
      </w:r>
    </w:p>
    <w:p>
      <w:r>
        <w:t xml:space="preserve">(2) Ist ein Vertrauensmann nicht gewählt, so können sich die Dienstleistenden mit ihren Anliegen an den für ihre Dienststelle zuständigen Betriebs- oder Personalrat wenden. Dieser hat auf die Berücksichtigung der Anliegen, falls sie berechtigt erscheinen, bei der Leitung des Betriebes oder der Verwaltung hinzuwirken.</w:t>
      </w:r>
    </w:p>
    <w:p>
      <w:r>
        <w:rPr>
          <w:color w:val="555555"/>
          <w:sz w:val="17"/>
        </w:rPr>
        <w:t xml:space="preserve">Zitiervorschlag: § 3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