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ZDVG — Ahndung von Dienstvergehen</w:t>
      </w:r>
    </w:p>
    <w:p>
      <w:r>
        <w:rPr>
          <w:color w:val="555555"/>
          <w:sz w:val="18"/>
        </w:rPr>
        <w:t xml:space="preserve">Zivildienstvertrauensmann-Gesetz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Vor der Verhängung von Disziplinarmaßnahmen ist der Vertrauensmann zur Person des Dienstleistenden und zum Sachverhalt anzuhören.</w:t>
      </w:r>
    </w:p>
    <w:p>
      <w:r>
        <w:t xml:space="preserve">(2) Der Sachverhalt ist dem Vertrauensmann vor Beginn der Anhörung bekanntzugeben.</w:t>
      </w:r>
    </w:p>
    <w:p>
      <w:r>
        <w:t xml:space="preserve">(3) Über die Anhörung ist eine Niederschrift anzufertigen, die zu den Akten zu nehmen ist.</w:t>
      </w:r>
    </w:p>
    <w:p>
      <w:r>
        <w:rPr>
          <w:color w:val="555555"/>
          <w:sz w:val="17"/>
        </w:rPr>
        <w:t xml:space="preserve">Zitiervorschlag: § 22 ZDVG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https://recht.nulegal.eu/gesetze/ZDVG/22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