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ZDVG — Vertrauensmann</w:t>
      </w:r>
    </w:p>
    <w:p>
      <w:r>
        <w:rPr>
          <w:color w:val="555555"/>
          <w:sz w:val="18"/>
        </w:rPr>
        <w:t xml:space="preserve">Zivildienstvertrauensmann-Gesetz</w:t>
      </w:r>
    </w:p>
    <w:p>
      <w:r>
        <w:rPr>
          <w:color w:val="555555"/>
          <w:sz w:val="18"/>
        </w:rPr>
        <w:t xml:space="preserve">Stand: 10.06.2019 (konsolidierte Textfassung, kein amtliches Inkrafttretensdatum)</w:t>
      </w:r>
    </w:p>
    <w:p>
      <w:r>
        <w:t xml:space="preserve">(1) Dienstleistende wählen in geheimer und unmittelbarer Wahl aus ihren Reihen</w:t>
      </w:r>
    </w:p>
    <w:p>
      <w:pPr>
        <w:ind w:left="420"/>
      </w:pPr>
      <w:r>
        <w:t xml:space="preserve">1. in Dienststellen oder in Lehrgängen mit fünf bis zu zwanzig Dienstleistenden je einen Vertrauensmann und je einen Stellvertreter,</w:t>
      </w:r>
    </w:p>
    <w:p>
      <w:pPr>
        <w:ind w:left="420"/>
      </w:pPr>
      <w:r>
        <w:t xml:space="preserve">2. in Dienststellen oder in Lehrgängen mit einundzwanzig und mehr Dienstleistenden je einen Vertrauensmann und je zwei Stellvertreter.</w:t>
      </w:r>
    </w:p>
    <w:p>
      <w:r>
        <w:t xml:space="preserve">(2) Für Lehrgänge entfällt die Wahl des Vertrauensmannes und der Stellvertreter, wenn die voraussichtliche Amtsdauer des Vertrauensmannes bis zur Beendigung des Lehrgangs weniger als zehn Kalendertage beträgt.</w:t>
      </w:r>
    </w:p>
    <w:p>
      <w:r>
        <w:t xml:space="preserve">(3) Wahlberechtigt sind alle Dienstleistenden, die dem Wahlbereich angehören, für den der Vertrauensmann zu wählen ist.</w:t>
      </w:r>
    </w:p>
    <w:p>
      <w:r>
        <w:t xml:space="preserve">(4) Wählbar ist jeder Wahlberechtigte des Wahlbereichs mit Ausnahme</w:t>
      </w:r>
    </w:p>
    <w:p>
      <w:pPr>
        <w:ind w:left="420"/>
      </w:pPr>
      <w:r>
        <w:t xml:space="preserve">1. der Dienstleistenden, die infolge Richterspruchs die Fähigkeit, Rechte aus öffentlichen Wahlen zu erlangen, nicht besitzen und</w:t>
      </w:r>
    </w:p>
    <w:p>
      <w:pPr>
        <w:ind w:left="420"/>
      </w:pPr>
      <w:r>
        <w:t xml:space="preserve">2. der Dienstleistenden, die vor dem Tage der Stimmabgabe durch das Verwaltungsgericht als Vertrauensmann abberufen worden sind.</w:t>
      </w:r>
    </w:p>
    <w:p>
      <w:r>
        <w:t xml:space="preserve">(5) Das Bundesministerium für Familie, Senioren, Frauen und Jugend wird ermächtigt, durch Rechtsverordnung, die nicht der Zustimmung des Bundesrates bedarf, zur Durchführung der in Absatz 1 genannten Wahlen Vorschriften zu erlassen über</w:t>
      </w:r>
    </w:p>
    <w:p>
      <w:pPr>
        <w:ind w:left="420"/>
      </w:pPr>
      <w:r>
        <w:t xml:space="preserve">1. die Wahlbereiche,</w:t>
      </w:r>
    </w:p>
    <w:p>
      <w:pPr>
        <w:ind w:left="420"/>
      </w:pPr>
      <w:r>
        <w:t xml:space="preserve">2. die Vorbereitung der Wahl, insbesondere die Bestellung des Wahlvorstandes, die Festsetzung des Wahltermins, die Wahlbekanntmachungen, das Wählerverzeichnis, Einsprüche gegen das Wählerverzeichnis, die Wahlvorschläge, die Bewerberliste,</w:t>
      </w:r>
    </w:p>
    <w:p>
      <w:pPr>
        <w:ind w:left="420"/>
      </w:pPr>
      <w:r>
        <w:t xml:space="preserve">3. die Stimmabgabe,</w:t>
      </w:r>
    </w:p>
    <w:p>
      <w:pPr>
        <w:ind w:left="420"/>
      </w:pPr>
      <w:r>
        <w:t xml:space="preserve">4. die Feststellung des Wahlergebnisses und dessen Bekanntmachung und</w:t>
      </w:r>
    </w:p>
    <w:p>
      <w:pPr>
        <w:ind w:left="420"/>
      </w:pPr>
      <w:r>
        <w:t xml:space="preserve">5. die Aufbewahrung der Wahlakten.</w:t>
      </w:r>
    </w:p>
    <w:p>
      <w:r>
        <w:t xml:space="preserve">(6) Drei Wahlberechtigte, die Leitung der Dienststelle oder die Leitung des Lehrgangs können die Wahl innerhalb von vierzehn Tagen, vom Tage der Bekanntgabe des Wahlergebnisses an gerechnet, beim Verwaltungsgericht anfechten mit dem Antrag, die Wahl für ungültig zu erklären, wenn gegen wesentliche Vorschriften über das Wahlrecht, die Wählbarkeit oder das Wahlverfahren verstoßen worden und eine Berichtigung nicht erfolgt ist, es sei denn, daß durch den Verstoß das Wahlergebnis nicht verändert oder beeinflußt werden konnte.</w:t>
      </w:r>
    </w:p>
    <w:p>
      <w:r>
        <w:rPr>
          <w:color w:val="555555"/>
          <w:sz w:val="17"/>
        </w:rPr>
        <w:t xml:space="preserve">Zitiervorschlag: § 2 ZDVG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