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ZDVG — Beschwerden gegen den Vertrauensmann</w:t>
      </w:r>
    </w:p>
    <w:p>
      <w:r>
        <w:rPr>
          <w:color w:val="555555"/>
          <w:sz w:val="18"/>
        </w:rPr>
        <w:t xml:space="preserve">Zivildienstvertrauensmann-Gesetz</w:t>
      </w:r>
    </w:p>
    <w:p>
      <w:r>
        <w:rPr>
          <w:color w:val="555555"/>
          <w:sz w:val="18"/>
        </w:rPr>
        <w:t xml:space="preserve">Stand: 10.06.2019 (konsolidierte Textfassung, kein amtliches Inkrafttretensdatum)</w:t>
      </w:r>
    </w:p>
    <w:p>
      <w:r>
        <w:t xml:space="preserve">Über Beschwerden gegen den Vertrauensmann entscheidet die Präsidentin oder der Präsident des Bundesamtes. Sie oder er kann diese Befugnis auf eine hierfür bestellte Beamtin oder einen hierfür bestellten Beamten des Bundesamtes, die oder der die Befähigung zum Richteramt hat, übertragen.</w:t>
      </w:r>
    </w:p>
    <w:p>
      <w:r>
        <w:rPr>
          <w:color w:val="555555"/>
          <w:sz w:val="17"/>
        </w:rPr>
        <w:t xml:space="preserve">Zitiervorschlag: § 13 ZDVG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