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ZDVG — Versetzung des Vertrauensmannes</w:t>
      </w:r>
    </w:p>
    <w:p>
      <w:r>
        <w:rPr>
          <w:color w:val="555555"/>
          <w:sz w:val="18"/>
        </w:rPr>
        <w:t xml:space="preserve">Zivildienstvertrauensmann-Gesetz</w:t>
      </w:r>
    </w:p>
    <w:p>
      <w:r>
        <w:rPr>
          <w:color w:val="555555"/>
          <w:sz w:val="18"/>
        </w:rPr>
        <w:t xml:space="preserve">Stand: 10.06.2019 (konsolidierte Textfassung, kein amtliches Inkrafttretensdatum)</w:t>
      </w:r>
    </w:p>
    <w:p>
      <w:r>
        <w:t xml:space="preserve">Der Vertrauensmann darf während der Dauer seines Amtes gegen seinen Willen zu einer anderen Dienststelle nur versetzt werden, wenn dies auch unter Berücksichtigung seiner Stellung als Vertrauensmann aus dienstlichen Gründen unvermeidbar ist. Dasselbe gilt für die zur Wahl vorgeschlagenen Dienstleistenden bis zum Wahltag.</w:t>
      </w:r>
    </w:p>
    <w:p>
      <w:r>
        <w:rPr>
          <w:color w:val="555555"/>
          <w:sz w:val="17"/>
        </w:rPr>
        <w:t xml:space="preserve">Zitiervorschlag: § 11 ZDVG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https://recht.nulegal.eu/gesetze/ZDVG/11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