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ZDVG — Eintritt des Stellvertreters</w:t>
      </w:r>
    </w:p>
    <w:p>
      <w:r>
        <w:rPr>
          <w:color w:val="555555"/>
          <w:sz w:val="18"/>
        </w:rPr>
        <w:t xml:space="preserve">Zivildienstvertrauensmann-Gesetz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Endet das Amt des Vertrauensmannes vorzeitig (§ 7), so tritt der Stellvertreter ein. Ist kein Stellvertreter vorhanden, ist neu zu wählen.</w:t>
      </w:r>
    </w:p>
    <w:p>
      <w:r>
        <w:t xml:space="preserve">(2) Der Stellvertreter tritt auch ein, wenn der Vertrauensmann an der Ausübung seines Amtes verhindert ist oder sein Amt ruht (§ 9 Abs. 2).</w:t>
      </w:r>
    </w:p>
    <w:p>
      <w:r>
        <w:t xml:space="preserve">(3) Die §§ 7 bis 9 gelten für den Stellvertreter entsprechend.</w:t>
      </w:r>
    </w:p>
    <w:p>
      <w:r>
        <w:rPr>
          <w:color w:val="555555"/>
          <w:sz w:val="17"/>
        </w:rPr>
        <w:t xml:space="preserve">Zitiervorschlag: § 10 ZDVG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https://recht.nulegal.eu/gesetze/ZDVG/10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