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ZDPersAV — Ersetzung der Urschrift</w:t>
      </w:r>
    </w:p>
    <w:p>
      <w:r>
        <w:rPr>
          <w:color w:val="555555"/>
          <w:sz w:val="18"/>
        </w:rPr>
        <w:t xml:space="preserve">Zivildienst-Personalaktenverordnung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Grundakte und die Tauglichkeitsakte können nach Vollendung des 32. Lebensjahres des Zivildienstpflichtigen zur Ersetzung der Urschrift mikroverfilmt oder in sonstiger Weise auf Bild- oder andere Datenträger übertragen werden, wenn sichergestellt ist, dass</w:t>
      </w:r>
    </w:p>
    <w:p>
      <w:pPr>
        <w:ind w:left="420"/>
      </w:pPr>
      <w:r>
        <w:t xml:space="preserve">1. sie während der Dauer der Aufbewahrungsfrist verfügbar bleiben und wieder lesbar gemacht werden können und</w:t>
      </w:r>
    </w:p>
    <w:p>
      <w:pPr>
        <w:ind w:left="420"/>
      </w:pPr>
      <w:r>
        <w:t xml:space="preserve">2. wieder lesbar gemachte Akten mit der Urschrift übereinstimmen.</w:t>
      </w:r>
    </w:p>
    <w:p>
      <w:r>
        <w:t xml:space="preserve">Die Ersetzung der Urschrift ist bei anerkannten Kriegsdienstverweigerinnen und Kriegsdienstverweigerern, die nicht zivildienstpflichtig sind, schon drei Monate nach Abschluss des Anerkennungsverfahrens zulässig.</w:t>
      </w:r>
    </w:p>
    <w:p>
      <w:r>
        <w:t xml:space="preserve">(2) Nach Übertragung ist die Übereinstimmung mit der Urschrift zu dokumentieren. Die Urschrift wird vernichtet. Der Datenträger ist in der Mikrofilmstelle oder in einem anderen Datenträgerarchiv aufzubewahren.</w:t>
      </w:r>
    </w:p>
    <w:p>
      <w:r>
        <w:t xml:space="preserve">(3) Für den Zugriff auf den Datenträger gelten die Vorschriften über den Zugriff auf die Urschrift entsprechend.</w:t>
      </w:r>
    </w:p>
    <w:p>
      <w:r>
        <w:t xml:space="preserve">(4) Der Datenträger ist zu vernichten, sobald die Voraussetzungen für die Vernichtung der Personalakte nach § 7 für sämtliche auf dem Datenträger gespeicherten Personalunterlagen erfüllt sind.</w:t>
      </w:r>
    </w:p>
    <w:p>
      <w:r>
        <w:rPr>
          <w:color w:val="555555"/>
          <w:sz w:val="17"/>
        </w:rPr>
        <w:t xml:space="preserve">Zitiervorschlag: § 8 ZDPersAV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https://recht.nulegal.eu/gesetze/ZDPersAV/8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