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ZDPersAV — Geltungsbereich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Personalakten</w:t>
      </w:r>
    </w:p>
    <w:p>
      <w:pPr>
        <w:ind w:left="420"/>
      </w:pPr>
      <w:r>
        <w:t xml:space="preserve">1. der Zivildienstpflichtigen und</w:t>
      </w:r>
    </w:p>
    <w:p>
      <w:pPr>
        <w:ind w:left="420"/>
      </w:pPr>
      <w:r>
        <w:t xml:space="preserve">2. der Wehrpflichtigen, der Berufssoldatinnen und Berufssoldaten, der Soldatinnen und Soldaten auf Zeit sowie der Reservistinnen und der Reservisten, die einen Antrag nach § 2 des Kriegsdienstverweigerungsgesetzes gestellt haben, sobald dieser Antrag beim Bundesamt für den Zivildienst (Bundesamt) eingegangen ist.</w:t>
      </w:r>
    </w:p>
    <w:p>
      <w:r>
        <w:rPr>
          <w:color w:val="555555"/>
          <w:sz w:val="17"/>
        </w:rPr>
        <w:t xml:space="preserve">Zitiervorschlag: § 1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