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ZBWV (Brandenburg) — Voraussetzungen</w:t>
      </w:r>
    </w:p>
    <w:p>
      <w:r>
        <w:rPr>
          <w:color w:val="555555"/>
          <w:sz w:val="18"/>
        </w:rPr>
        <w:t xml:space="preserve">ZBW-Verordnung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Frühestens nach dem Besuch von zwei Semestern der Hauptphase kann der schulische Teil der Fachhochschulreife erworben werden.</w:t>
      </w:r>
    </w:p>
    <w:p>
      <w:r>
        <w:t xml:space="preserve">(2) Der Antrag auf Erteilung des schulischen Teils der Fachhochschulreife ist spätestens vier Wochen vor Abschluß des entsprechenden Semesters oder unmittelbar nach dem Nichtbestehen der Abiturprüfung zu stellen.</w:t>
      </w:r>
    </w:p>
    <w:p>
      <w:r>
        <w:t xml:space="preserve">(3) Zur Ermittlung der Durchschnittsnote können nur solche Leistungen herangezogen werden, die in zwei aufeinander folgenden Semestern der Hauptphase erreicht worden sind.</w:t>
      </w:r>
    </w:p>
    <w:p>
      <w:r>
        <w:rPr>
          <w:color w:val="555555"/>
          <w:sz w:val="17"/>
        </w:rPr>
        <w:t xml:space="preserve">Zitiervorschlag: § 25 ZBWV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https://recht.nulegal.eu/gesetze/ZBWV/25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