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ZBBZÜVMWE (Brandenburg) — Inkrafttreten</w:t>
      </w:r>
    </w:p>
    <w:p>
      <w:r>
        <w:rPr>
          <w:color w:val="555555"/>
          <w:sz w:val="18"/>
        </w:rPr>
        <w:t xml:space="preserve">ZBB-Zuständigkeitsübertragungsverordnung MWE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Potsdam, den 11. November 2011</w:t>
      </w:r>
    </w:p>
    <w:p>
      <w:r>
        <w:t xml:space="preserve">Der Minister für Wirtschaft</w:t>
      </w:r>
    </w:p>
    <w:p>
      <w:r>
        <w:t xml:space="preserve">und Europaangelegenheiten</w:t>
      </w:r>
    </w:p>
    <w:p>
      <w:r>
        <w:t xml:space="preserve">Ralf Christoffers</w:t>
      </w:r>
    </w:p>
    <w:p>
      <w:r>
        <w:rPr>
          <w:color w:val="555555"/>
          <w:sz w:val="17"/>
        </w:rPr>
        <w:t xml:space="preserve">Zitiervorschlag: § 4 ZBBZÜVMWE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https://recht.nulegal.eu/gesetze/ZBBZ%C3%9CVMWE/4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