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ZBBZÜVMWE (Brandenburg) — Vertretung bei Klagen</w:t>
      </w:r>
    </w:p>
    <w:p>
      <w:r>
        <w:rPr>
          <w:color w:val="555555"/>
          <w:sz w:val="18"/>
        </w:rPr>
        <w:t xml:space="preserve">ZBB-Zuständigkeitsübertragungsverordnung MWE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Im Rahmen der Übertragung der Zuständigkeit nach § 1 wird die Zentrale Bezügestelle des Landes Brandenburg ermächtigt, das Ministerium für Wirtschaft und Energie sowie den gesamten Geschäftsbereich in verwaltungs- und arbeitsgerichtlichen Streitigkeiten zu vertreten. Dies gilt auch für Anträge in einstweiligen Rechtsschutzverfahren.</w:t>
      </w:r>
    </w:p>
    <w:p>
      <w:r>
        <w:rPr>
          <w:color w:val="555555"/>
          <w:sz w:val="17"/>
        </w:rPr>
        <w:t xml:space="preserve">Zitiervorschlag: § 2 ZBBZÜVMWE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https://recht.nulegal.eu/gesetze/ZBBZ%C3%9CVMWE/2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