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ZApprO — Prüfungstermine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Die Eignungsprüfung soll mindestens zweimal jährlich angeboten werden.</w:t>
      </w:r>
    </w:p>
    <w:p>
      <w:r>
        <w:t xml:space="preserve">(2) Die nach § 16 Absatz 2 Satz 1 des Gesetzes über die Ausübung der Zahnheilkunde zuständige Behörde kann zur Durchführung der Eignungsprüfung die regulären Prüfungstermine des Zweiten Abschnitts der Zahnärztlichen Prüfung nach § 44 Absatz 1 nutzen.</w:t>
      </w:r>
    </w:p>
    <w:p>
      <w:r>
        <w:t xml:space="preserve">(3) Die nach § 16 Absatz 2 Satz 1 des Gesetzes über die Ausübung der Zahnheilkunde zuständige Behörde hat sicherzustellen, dass die antragstellende Person die Eignungsprüfung innerhalb von sechs Monaten, nachdem der antragstellenden Person der Bescheid nach § 2 Absatz 2 Satz 8 des Gesetzes über die Ausübung der Zahnheilkunde zugegangen ist, ablegen kann.</w:t>
      </w:r>
    </w:p>
    <w:p>
      <w:r>
        <w:rPr>
          <w:color w:val="555555"/>
          <w:sz w:val="17"/>
        </w:rPr>
        <w:t xml:space="preserve">Zitiervorschlag: § 90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