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ZApprO — Bescheid über die Feststellung der wesentlichen Unterschiede</w:t>
      </w:r>
    </w:p>
    <w:p>
      <w:r>
        <w:rPr>
          <w:color w:val="555555"/>
          <w:sz w:val="18"/>
        </w:rPr>
        <w:t xml:space="preserve">Approbationsordnung für Zahnärzte und Zahnärztinnen</w:t>
      </w:r>
    </w:p>
    <w:p>
      <w:r>
        <w:rPr>
          <w:color w:val="555555"/>
          <w:sz w:val="18"/>
        </w:rPr>
        <w:t xml:space="preserve">Stand: 01.10.2020 (konsolidierte Textfassung, kein amtliches Inkrafttretensdatum)</w:t>
      </w:r>
    </w:p>
    <w:p>
      <w:r>
        <w:t xml:space="preserve">(1) Die nach § 16 Absatz 2 Satz 1 des Gesetzes über die Ausübung der Zahnheilkunde zuständige Behörde erteilt der antragstellenden Person den Bescheid über die Feststellung der wesentlichen Unterschiede nach § 2 Absatz 2 Satz 8 des Gesetzes über die Ausübung der Zahnheilkunde. Der Bescheid hat folgende Angaben zu enthalten:</w:t>
      </w:r>
    </w:p>
    <w:p>
      <w:pPr>
        <w:ind w:left="420"/>
      </w:pPr>
      <w:r>
        <w:t xml:space="preserve">1. das Niveau der in Deutschland verlangten Qualifikation und das Niveau der von der antragstellenden Person vorgelegten Qualifikation gemäß der Klassifizierung in Artikel 11 der Richtlinie 2005/36/EG des Europäischen Parlaments und des Rates vom 7. September 2005 über die Anerkennung von Berufsqualifikationen (ABl. L 255 vom 30.9.2005, S. 22), die zuletzt durch den Delegierten Beschluss (EU) 2016/790 (ABl. L 134 vom 24.5.2016, S. 135) geändert worden ist,</w:t>
      </w:r>
    </w:p>
    <w:p>
      <w:pPr>
        <w:ind w:left="420"/>
      </w:pPr>
      <w:r>
        <w:t xml:space="preserve">2. die Fächer, bei denen wesentliche Unterschiede zwischen der Ausbildung der antragstellenden Person und der Ausbildung, die im Gesetz über die Ausübung der Zahnheilkunde und in dieser Verordnung geregelt ist, festgestellt wurden,</w:t>
      </w:r>
    </w:p>
    <w:p>
      <w:pPr>
        <w:ind w:left="420"/>
      </w:pPr>
      <w:r>
        <w:t xml:space="preserve">3. eine inhaltliche Erläuterung der wesentlichen Unterschiede sowie die Begründung, warum die wesentlichen Unterschiede dazu führen, dass die antragstellende Person nicht in ausreichender Form über die in Deutschland zur Ausübung des zahnärztlichen Berufs notwendigen Kenntnisse, Fähigkeiten und Fertigkeiten verfügt, und</w:t>
      </w:r>
    </w:p>
    <w:p>
      <w:pPr>
        <w:ind w:left="420"/>
      </w:pPr>
      <w:r>
        <w:t xml:space="preserve">4. eine Begründung, warum die wesentlichen Unterschiede nicht durch Kenntnisse, Fähigkeiten und Fertigkeiten ausgeglichen werden konnten, die die antragstellende Person im Rahmen ihrer zahnärztlichen Berufspraxis in Voll- oder Teilzeit oder durch lebenslanges Lernen im Sinne des § 2 Absatz 2 Satz 5 des Gesetzes über die Ausübung der Zahnheilkunde erworben hat.</w:t>
      </w:r>
    </w:p>
    <w:p>
      <w:r>
        <w:t xml:space="preserve">(2) Wenn die antragstellende Person eine Eignungsprüfung nach § 2 Absatz 2 Satz 7 des Gesetzes über die Ausübung der Zahnheilkunde abzulegen hat, hat der Bescheid über die Feststellung der wesentlichen Unterschiede nach § 2 Absatz 2 Satz 8 des Gesetzes über die Ausübung der Zahnheilkunde auch eine Angabe dazu zu enthalten, welche Abschnitte der Eignungsprüfung die antragstellende Person abzulegen hat und welche zahnärztlichen Leistungen gegebenenfalls von der antragstellenden Person im praktischen Abschnitt der Eignungsprüfung zu erbringen sind.</w:t>
      </w:r>
    </w:p>
    <w:p>
      <w:r>
        <w:t xml:space="preserve">(3) Wenn die antragstellende Person eine Kenntnisprüfung nach § 2 Absatz 3 Satz 3 des Gesetzes über die Ausübung der Zahnheilkunde abzulegen hat, hat der Bescheid über die Feststellung der wesentlichen Unterschiede nach § 2 Absatz 2 Satz 8 des Gesetzes über die Ausübung der Zahnheilkunde auch eine Angabe dazu zu enthalten, welches weitere Fach oder welchen weiteren Querschnittsbereich die Kenntnisprüfung gegebenenfalls nach § 107 Absatz 2 umfasst.</w:t>
      </w:r>
    </w:p>
    <w:p>
      <w:r>
        <w:rPr>
          <w:color w:val="555555"/>
          <w:sz w:val="17"/>
        </w:rPr>
        <w:t xml:space="preserve">Zitiervorschlag: § 87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