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ZApprO — Modellstudiengang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nach Landesrecht zuständige Stelle kann einen Modellstudiengang zulassen, der von den Vorgaben dieser Verordnung dahingehend abweicht, dass</w:t>
      </w:r>
    </w:p>
    <w:p>
      <w:pPr>
        <w:ind w:left="420"/>
      </w:pPr>
      <w:r>
        <w:t xml:space="preserve">1. von den in § 2 Absatz 2 vorgesehenen Prüfungsabschnitten der Erste Abschnitt der Zahnärztlichen Prüfung nicht abgelegt werden muss,</w:t>
      </w:r>
    </w:p>
    <w:p>
      <w:pPr>
        <w:ind w:left="420"/>
      </w:pPr>
      <w:r>
        <w:t xml:space="preserve">2. der Zweite Abschnitt der Zahnärztlichen Prüfung in einem oder mehreren Fächern zu einem anderen Zeitpunkt als zu dem Zeitpunkt abzulegen ist, der nach § 42 vorgeschrieben ist, und</w:t>
      </w:r>
    </w:p>
    <w:p>
      <w:pPr>
        <w:ind w:left="420"/>
      </w:pPr>
      <w:r>
        <w:t xml:space="preserve">3. die Ausbildung in erster Hilfe, der Pflegedienst und die Famulatur zu anderen Zeitpunkten als zu den Zeitpunkten abgeleistet werden können, die nach § 13 Absatz 2, § 14 Absatz 3 und § 15 Absatz 3 vorgeschrieben sind.</w:t>
      </w:r>
    </w:p>
    <w:p>
      <w:r>
        <w:t xml:space="preserve">(2) Die Zulassung als Modellstudiengang setzt voraus, dass</w:t>
      </w:r>
    </w:p>
    <w:p>
      <w:pPr>
        <w:ind w:left="420"/>
      </w:pPr>
      <w:r>
        <w:t xml:space="preserve">1. das Reformziel beschrieben wird und erkennen lässt, welche qualitativen Verbesserungen für die zahnmedizinische Ausbildung vom Modellstudiengang erwartet werden,</w:t>
      </w:r>
    </w:p>
    <w:p>
      <w:pPr>
        <w:ind w:left="420"/>
      </w:pPr>
      <w:r>
        <w:t xml:space="preserve">2. eine von der Universität zu erlassende besondere Studienordnung besteht,</w:t>
      </w:r>
    </w:p>
    <w:p>
      <w:pPr>
        <w:ind w:left="420"/>
      </w:pPr>
      <w:r>
        <w:t xml:space="preserve">3. sichergestellt ist, dass die im Ersten Abschnitt der Zahnärztlichen Prüfung nachzuweisenden Kenntnisse, Fähigkeiten und Fertigkeiten im Modellstudiengang in einer dem Regelstudiengang gleichwertigen Weise geprüft werden,</w:t>
      </w:r>
    </w:p>
    <w:p>
      <w:pPr>
        <w:ind w:left="420"/>
      </w:pPr>
      <w:r>
        <w:t xml:space="preserve">4. eine sachgerechte begleitende und abschließende Evaluation des Modellstudiengangs gewährleistet ist,</w:t>
      </w:r>
    </w:p>
    <w:p>
      <w:pPr>
        <w:ind w:left="420"/>
      </w:pPr>
      <w:r>
        <w:t xml:space="preserve">5. die Mindest- und die Höchstdauer der Laufzeit des Modellstudiengangs festgelegt sind und Anträge auf Verlängerung der Laufzeit anhand von Evaluationsergebnissen zu begründen sind,</w:t>
      </w:r>
    </w:p>
    <w:p>
      <w:pPr>
        <w:ind w:left="420"/>
      </w:pPr>
      <w:r>
        <w:t xml:space="preserve">6. die Freiwilligkeit der Teilnahme und ein dem Regelstudiengang entsprechender gleichberechtigter Zugang zum Modellstudiengang gewährleistet ist,</w:t>
      </w:r>
    </w:p>
    <w:p>
      <w:pPr>
        <w:ind w:left="420"/>
      </w:pPr>
      <w:r>
        <w:t xml:space="preserve">7. die Voraussetzungen, unter denen die Universität den Modellstudiengang abbrechen kann, benannt sind,</w:t>
      </w:r>
    </w:p>
    <w:p>
      <w:pPr>
        <w:ind w:left="420"/>
      </w:pPr>
      <w:r>
        <w:t xml:space="preserve">8. geregelt ist, wie beim Übergang vom Modellstudiengang in den Regelstudiengang hinsichtlich des weiteren Studiums sowie hinsichtlich der Anrechnung von Studienzeiten, Studienleistungen und Prüfungsleistungen verfahren wird,</w:t>
      </w:r>
    </w:p>
    <w:p>
      <w:pPr>
        <w:ind w:left="420"/>
      </w:pPr>
      <w:r>
        <w:t xml:space="preserve">9. festgelegt ist, wie die Anforderungen, die in den Anlagen 1, 13 und 16 beschrieben sind, im Modellstudiengang erfüllt werden.</w:t>
      </w:r>
    </w:p>
    <w:p>
      <w:r>
        <w:t xml:space="preserve">(3) Die Zulassung des Modellstudiengangs kann befristet erteilt und mit Auflagen versehen werden.</w:t>
      </w:r>
    </w:p>
    <w:p>
      <w:r>
        <w:t xml:space="preserve">(4) Für die Prüfungen im Modellstudiengang nach Absatz 2 Nummer 3 gilt § 38 entsprechend. Hat ein Studierender oder eine Studierende in einem Regelstudiengang den Ersten Abschnitt der Zahnärztlichen Prüfung endgültig nicht bestanden, ist das Ablegen der entsprechenden Prüfungen nach Satz 1 im Modellstudiengang nicht zulässig. Hat ein Studierender oder eine Studierende die entsprechenden Prüfungen nach Satz 1 im Modellstudiengang endgültig nicht bestanden, ist das Ablegen des Ersten Abschnitts der Zahnärztlichen Prüfung im Regelstudiengang nicht zulässig.</w:t>
      </w:r>
    </w:p>
    <w:p>
      <w:r>
        <w:t xml:space="preserve">(5) Die Studierenden des Modellstudiengangs haben die in § 20 Absatz 1 genannten Unterlagen spätestens bei dem Antrag auf Zulassung zum Dritten Abschnitt der Zahnärztlichen Prüfung vorzulegen.</w:t>
      </w:r>
    </w:p>
    <w:p>
      <w:r>
        <w:rPr>
          <w:color w:val="555555"/>
          <w:sz w:val="17"/>
        </w:rPr>
        <w:t xml:space="preserve">Zitiervorschlag: § 82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