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ZApprO — Inhalt des Zweiten Abschnitts der Zahnärztlichen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Im Zweiten Abschnitt der Zahnärztlichen Prüfung hat der oder die Studierende fächerübergreifend zu zeigen, dass er oder sie</w:t>
      </w:r>
    </w:p>
    <w:p>
      <w:pPr>
        <w:ind w:left="420"/>
      </w:pPr>
      <w:r>
        <w:t xml:space="preserve">1. die zahnmedizinischen, werkstoffkundlichen und zahntechnischen Grundlagen des vorklinischen und klinischen Studienabschnitts beherrscht,</w:t>
      </w:r>
    </w:p>
    <w:p>
      <w:pPr>
        <w:ind w:left="420"/>
      </w:pPr>
      <w:r>
        <w:t xml:space="preserve">2. in der Lage ist, die klinisch-zahnmedizinischen Zusammenhänge zu erfassen und</w:t>
      </w:r>
    </w:p>
    <w:p>
      <w:pPr>
        <w:ind w:left="420"/>
      </w:pPr>
      <w:r>
        <w:t xml:space="preserve">3. die für die Fortsetzung des klinischen Studiums und der damit verbundenen Ausbildung am Patienten notwendigen Kenntnisse, Fähigkeiten und Fertigkeiten besitzt.</w:t>
      </w:r>
    </w:p>
    <w:p>
      <w:r>
        <w:t xml:space="preserve">(2) Der Zweite Abschnitt der Zahnärztlichen Prüfung umfasst</w:t>
      </w:r>
    </w:p>
    <w:p>
      <w:pPr>
        <w:ind w:left="420"/>
      </w:pPr>
      <w:r>
        <w:t xml:space="preserve">1. das Fach Zahnärztliche Prothetik,</w:t>
      </w:r>
    </w:p>
    <w:p>
      <w:pPr>
        <w:ind w:left="420"/>
      </w:pPr>
      <w:r>
        <w:t xml:space="preserve">2. das Fach Kieferorthopädie,</w:t>
      </w:r>
    </w:p>
    <w:p>
      <w:pPr>
        <w:ind w:left="420"/>
      </w:pPr>
      <w:r>
        <w:t xml:space="preserve">3. das Fach Oralchirurgie und Mund-, Kiefer- und Gesichtschirurgie und</w:t>
      </w:r>
    </w:p>
    <w:p>
      <w:pPr>
        <w:ind w:left="420"/>
      </w:pPr>
      <w:r>
        <w:t xml:space="preserve">4. die Fächergruppe Zahnerhaltung, die folgende Fächer beinhaltet:</w:t>
      </w:r>
    </w:p>
    <w:p>
      <w:pPr>
        <w:ind w:left="780"/>
      </w:pPr>
      <w:r>
        <w:t xml:space="preserve">a) Endodontologie,</w:t>
      </w:r>
    </w:p>
    <w:p>
      <w:pPr>
        <w:ind w:left="780"/>
      </w:pPr>
      <w:r>
        <w:t xml:space="preserve">b) Kinderzahnheilkunde,</w:t>
      </w:r>
    </w:p>
    <w:p>
      <w:pPr>
        <w:ind w:left="780"/>
      </w:pPr>
      <w:r>
        <w:t xml:space="preserve">c) Parodontologie und</w:t>
      </w:r>
    </w:p>
    <w:p>
      <w:pPr>
        <w:ind w:left="780"/>
      </w:pPr>
      <w:r>
        <w:t xml:space="preserve">d) Zahnhartsubstanzlehre, Prävention und Restauration.</w:t>
      </w:r>
    </w:p>
    <w:p>
      <w:r>
        <w:rPr>
          <w:color w:val="555555"/>
          <w:sz w:val="17"/>
        </w:rPr>
        <w:t xml:space="preserve">Zitiervorschlag: § 46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