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ZApprO — Studienordnung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Die Universität regelt in einer Studienordnung,</w:t>
      </w:r>
    </w:p>
    <w:p>
      <w:pPr>
        <w:ind w:left="420"/>
      </w:pPr>
      <w:r>
        <w:t xml:space="preserve">1. an welchen Unterrichtsveranstaltungen die Studierenden erfolgreich teilzunehmen haben,</w:t>
      </w:r>
    </w:p>
    <w:p>
      <w:pPr>
        <w:ind w:left="420"/>
      </w:pPr>
      <w:r>
        <w:t xml:space="preserve">2. das Nähere zu den Anforderungen an die erfolgreiche Teilnahme an einer Unterrichtsveranstaltung und</w:t>
      </w:r>
    </w:p>
    <w:p>
      <w:pPr>
        <w:ind w:left="420"/>
      </w:pPr>
      <w:r>
        <w:t xml:space="preserve">3. dass die Studierenden an den in den Anlagen 1 bis 3 genannten Unterrichtsveranstaltungen erfolgreich und regelmäßig teilzunehmen haben.</w:t>
      </w:r>
    </w:p>
    <w:p>
      <w:r>
        <w:rPr>
          <w:color w:val="555555"/>
          <w:sz w:val="17"/>
        </w:rPr>
        <w:t xml:space="preserve">Zitiervorschlag: § 4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