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22 ZApprO — Nachteilsausgleich</w:t>
      </w:r>
    </w:p>
    <w:p>
      <w:r>
        <w:rPr>
          <w:color w:val="555555"/>
          <w:sz w:val="18"/>
        </w:rPr>
        <w:t xml:space="preserve">Approbationsordnung für Zahnärzte und Zahnärztinnen</w:t>
      </w:r>
    </w:p>
    <w:p>
      <w:r>
        <w:rPr>
          <w:color w:val="555555"/>
          <w:sz w:val="18"/>
        </w:rPr>
        <w:t xml:space="preserve">Stand: 01.12.2024 (konsolidierte Textfassung, kein amtliches Inkrafttretensdatum)</w:t>
      </w:r>
    </w:p>
    <w:p>
      <w:r>
        <w:t xml:space="preserve">(1) Einem oder einer Studierenden mit einer Behinderung oder einer Beeinträchtigung wird bei der Durchführung eines Abschnitts der Zahnärztlichen Prüfung oder eines Teils des Dritten Abschnitts der Zahnärztlichen Prüfung auf Antrag ein individueller Nachteilsausgleich gewährt, wenn die Behinderung oder Beeinträchtigung eine leistungsbeeinträchtigende Auswirkung hat. Der Antrag auf Nachteilsausgleich ist an die nach § 18 zuständige Stelle zu richten. Der Antrag kann schriftlich oder elektronisch gestellt werden.</w:t>
      </w:r>
    </w:p>
    <w:p>
      <w:r>
        <w:t xml:space="preserve">(2) Der Nachteilsausgleich wird nur gewährt, wenn er spätestens mit dem Antrag auf Zulassung zu dem Abschnitt der Zahnärztlichen Prüfung beantragt worden ist.</w:t>
      </w:r>
    </w:p>
    <w:p>
      <w:r>
        <w:t xml:space="preserve">(3) Die nach § 18 zuständige Stelle kann für die Entscheidung über den Antrag auf Nachteilsausgleich verlangen, dass der oder die Studierende ein ärztliches Attest oder andere geeignete Unterlagen vorlegt. Wird die Vorlage eines ärztlichen Attests oder anderer geeigneter Unterlagen verlangt, kann der Nachteilsausgleich nur gewährt werden, wenn aus dem ärztlichen Attest oder den anderen Unterlagen die leistungsbeeinträchtigende Auswirkung der Behinderung oder der Beeinträchtigung hervorgeht.</w:t>
      </w:r>
    </w:p>
    <w:p>
      <w:r>
        <w:t xml:space="preserve">(4) In welcher geänderten Form die Prüfungsleistung zu erbringen ist, bestimmt die nach § 18 zuständige Stelle. Die fachlichen Prüfungsanforderungen dürfen durch den Nachteilsausgleich nicht verändert werden.</w:t>
      </w:r>
    </w:p>
    <w:p>
      <w:r>
        <w:rPr>
          <w:color w:val="555555"/>
          <w:sz w:val="17"/>
        </w:rPr>
        <w:t xml:space="preserve">Zitiervorschlag: § 22 ZApprO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https://recht.nulegal.eu/gesetze/ZApprO/22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