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ZApprO — Famulatur</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Famulatur hat den Zweck, die Studierenden mit der praktischen zahnärztlichen Tätigkeit auf verschiedenen zahnärztlichen Berufs- und Tätigkeitsfeldern mit unmittelbarem Patientenkontakt vertraut zu machen, ohne dass die Studierenden bereits selbständig an dem Patienten oder an der Patientin tätig werden.</w:t>
      </w:r>
    </w:p>
    <w:p>
      <w:r>
        <w:t xml:space="preserve">(2) Die Famulatur darf nur unter der Aufsicht und Leitung einer Person durchgeführt werden, die die Approbation als Zahnarzt oder als Zahnärztin besitzt und selbst an dem Patienten oder an der Patientin praktisch zahnärztlich tätig ist. Die Universität schließt mit fachlich und persönlich geeigneten Zahnärzten und Zahnärztinnen Vereinbarungen über die Durchführung der Famulatur. Als Nachweis stellt die Person, unter deren Aufsicht und Leitung die Famulatur abgeleistet wurde, dem oder der Studierenden ein Zeugnis nach dem Muster der Anlage 11 aus.</w:t>
      </w:r>
    </w:p>
    <w:p>
      <w:r>
        <w:t xml:space="preserve">(3) Die Famulatur ist nach bestandenem Ersten Abschnitt der Zahnärztlichen Prüfung während der unterrichtsfreien Zeiten abzuleisten. Studierende, die den Ersten Abschnitt der Ärztlichen Prüfung oder Prüfungen in einem Modellstudiengang, in denen sie über die in dem Ersten Abschnitt der Ärztlichen Prüfung nachzuweisenden Kenntnisse, Fähigkeiten und Fertigkeiten in einer dem Regelstudiengang gleichwertigen Weise geprüft wurden, bestanden haben, können die Famulatur erst nach regelmäßiger und erfolgreicher Teilnahme an den Unterrichtsveranstaltungen beginnen, die nach Anlage 1 Nummer 9 und 10 vorgeschrieben sind.</w:t>
      </w:r>
    </w:p>
    <w:p>
      <w:r>
        <w:t xml:space="preserve">(4) Die Famulatur ist ganztägig abzuleisten. Sie dauert insgesamt vier Wochen. Die Famulatur ist mindestens zwei Wochen bei demselben Zahnarzt oder bei derselben Zahnärztin abzuleisten.</w:t>
      </w:r>
    </w:p>
    <w:p>
      <w:r>
        <w:t xml:space="preserve">(5) Eine im Ausland abgeleistete Famulatur kann angerechnet werden, wenn sie den Anforderungen der Absätze 1 bis 4 entspricht.</w:t>
      </w:r>
    </w:p>
    <w:p>
      <w:r>
        <w:t xml:space="preserve">(6) Die Ableistung der Famulatur ist bei dem Antrag auf Zulassung zum Dritten Abschnitt der Zahnärztlichen Prüfung nachzuweisen.</w:t>
      </w:r>
    </w:p>
    <w:p>
      <w:r>
        <w:rPr>
          <w:color w:val="555555"/>
          <w:sz w:val="17"/>
        </w:rPr>
        <w:t xml:space="preserve">Zitiervorschlag: § 15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