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ZApprO — Bestätigung des Antragseingangs</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nach § 16 Absatz 2 Satz 1 des Gesetzes über die Ausübung der Zahnheilkunde zuständige Behörde bestätigt der antragstellenden Person binnen eines Monats nach Eingang des Antrages auf erstmalige Erteilung der Erlaubnis zur vorübergehenden Ausübung der Zahnheilkunde nach § 13 Absatz 1 des Gesetzes über die Ausübung der Zahnheilkunde den Antragseingang und den Empfang der Unterlagen und teilt ihr gegebenenfalls mit, welche Unterlagen fehlen.</w:t>
      </w:r>
    </w:p>
    <w:p>
      <w:r>
        <w:t xml:space="preserve">(2) Ist zur Beurteilung der Frage, ob die von der antragstellenden Person nach § 120 Absatz 1 Nummer 3 vorgelegten Unterlagen den Abschluss der Ausbildung im Herkunftsstaat belegen, eine Auskunft von der Zentralstelle für ausländisches Bildungswesen erforderlich, so teilt die nach § 16 Absatz 2 Satz 1 des Gesetzes über die Ausübung der Zahnheilkunde zuständige Behörde dies der antragstellenden Person mit.</w:t>
      </w:r>
    </w:p>
    <w:p>
      <w:r>
        <w:rPr>
          <w:color w:val="555555"/>
          <w:sz w:val="17"/>
        </w:rPr>
        <w:t xml:space="preserve">Zitiervorschlag: § 121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