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ZApprO — Wahlfach vor dem Dritten Abschnitt der Zahnärztlichen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Studierenden haben bis zum Dritten Abschnitt der Zahnärztlichen Prüfung ein weiteres Wahlfach abzuleisten.</w:t>
      </w:r>
    </w:p>
    <w:p>
      <w:r>
        <w:t xml:space="preserve">(2) Sie können aus den von der Universität angebotenen Wahlfächern frei wählen. Anlage 9 enthält eine beispielhafte Aufzählung möglicher Wahlfächer.</w:t>
      </w:r>
    </w:p>
    <w:p>
      <w:r>
        <w:t xml:space="preserve">(3) Die in dem Wahlfach erbrachten Leistungen werden benotet. Die Note wird in das Zeugnis nach dem Muster der Anlage 18 aufgenommen.</w:t>
      </w:r>
    </w:p>
    <w:p>
      <w:r>
        <w:rPr>
          <w:color w:val="555555"/>
          <w:sz w:val="17"/>
        </w:rPr>
        <w:t xml:space="preserve">Zitiervorschlag: § 11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