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ZApprO — Wahlfach vor dem Ersten Abschnitt der Zahnärztlichen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Die Studierenden können bis zum Ersten Abschnitt der Zahnärztlichen Prüfung von der Universität angebotene Wahlfächer ableisten.</w:t>
      </w:r>
    </w:p>
    <w:p>
      <w:r>
        <w:t xml:space="preserve">(2) Sofern der oder die Studierende ein Wahlfach nach Absatz 1 ableistet, werden die in dem Wahlfach erbrachten Leistungen benotet. Die Note wird in das Zeugnis nach dem Muster der Anlage 16 aufgenommen.</w:t>
      </w:r>
    </w:p>
    <w:p>
      <w:r>
        <w:rPr>
          <w:color w:val="555555"/>
          <w:sz w:val="17"/>
        </w:rPr>
        <w:t xml:space="preserve">Zitiervorschlag: § 10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