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ZAPO-J (Bayern) — Arbeitsgerichtsbarkeit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Einstellung in den Vorbereitungsdienst erfolgt im Geschäftsbereich des Staatsministeriums für Familie, Arbeit und Soziales abweichend von § 3 Abs. 1 durch die Präsidentin oder den Präsidenten des jeweiligen Landesarbeitsgerichts. Bei ihr oder ihm ist der Antrag nach § 14 Abs. 2 zu stellen. § 7 Abs. 1, § 8 Abs. 1, § 34 Abs. 1 und § 44 Abs. 3 gelten mit der Maßgabe, dass an die Stelle der Einstellungsbehörde die Präsidentin oder der Präsident des Oberlandesgerichts tritt, dem die Anwärterin oder der Anwärter zur Ausbildung zugewiesen ist.</w:t>
      </w:r>
    </w:p>
    <w:p>
      <w:r>
        <w:t xml:space="preserve">(2) Diese Verordnung gilt auch für die Ausbildungsqualifizierung der Beamtinnen und Beamten der zweiten Qualifikationsebene in der Arbeitsgerichtsbarkeit für den Rechtspflegerdienst.</w:t>
      </w:r>
    </w:p>
    <w:p>
      <w:r>
        <w:rPr>
          <w:color w:val="555555"/>
          <w:sz w:val="17"/>
        </w:rPr>
        <w:t xml:space="preserve">Zitiervorschlag: § 58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https://recht.nulegal.eu/gesetze/ZAPO-J/58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