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ZAPO-F II (Bayern) — Ziel und Durchführung des Vorbereitungsdienstes</w:t>
      </w:r>
    </w:p>
    <w:p>
      <w:r>
        <w:rPr>
          <w:color w:val="555555"/>
          <w:sz w:val="18"/>
        </w:rPr>
        <w:t xml:space="preserve">Zulassungs-, Ausbildungs- und Prüfungsordnung für die Zweite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Durch den Vorbereitungsdienst sollen die Fachlehreranwärter fachlich, methodisch und pädagogisch so weit gefördert werden, dass sie am Ende des Vorbereitungsdienstes zu selbstständiger Lehr- und Erziehungstätigkeit in ihrer Fächerverbindung befähigt sind.</w:t>
      </w:r>
    </w:p>
    <w:p>
      <w:r>
        <w:t xml:space="preserve">(2) Während des Vorbereitungsdienstes haben sich die Fachlehreranwärter nach Maßgabe der Richtlinien des Staatsministeriums einer praktischen Ausbildung an öffentlichen Schulen zu unterziehen und an den Seminarveranstaltungen teilzunehmen.</w:t>
      </w:r>
    </w:p>
    <w:p>
      <w:r>
        <w:rPr>
          <w:color w:val="555555"/>
          <w:sz w:val="17"/>
        </w:rPr>
        <w:t xml:space="preserve">Zitiervorschlag: § 28 ZAPO-F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https://recht.nulegal.eu/gesetze/ZAPO-F%20II/28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