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ZAPO-F II (Bayern) — Bildung der Gesamtprüfungsnote</w:t>
      </w:r>
    </w:p>
    <w:p>
      <w:r>
        <w:rPr>
          <w:color w:val="555555"/>
          <w:sz w:val="18"/>
        </w:rPr>
        <w:t xml:space="preserve">Zulassungs-, Ausbildungs- und Prüfungsordnung für die Zweite Lehramtsprüfung von Fachlehrkräften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Prüfungsergebnis wird in einer Gesamtprüfungsnote zusammengefaßt. Diese wird gebildet aus</w:t>
      </w:r>
    </w:p>
    <w:p>
      <w:r>
        <w:t xml:space="preserve">1. der Note der schriftlichen Hausarbeit,</w:t>
      </w:r>
    </w:p>
    <w:p>
      <w:r>
        <w:t xml:space="preserve">2. der Note der schriftlichen Prüfung,</w:t>
      </w:r>
    </w:p>
    <w:p>
      <w:r>
        <w:t xml:space="preserve">3. der Durchschnittsnote der Prüfungslehrproben,</w:t>
      </w:r>
    </w:p>
    <w:p>
      <w:r>
        <w:t xml:space="preserve">4. der Durchschnittsnote der mündlichen Prüfungen,</w:t>
      </w:r>
    </w:p>
    <w:p>
      <w:r>
        <w:t xml:space="preserve">5. der nach § 19 Abs. 3 ermittelten Durchschnittsnote aus den Noten der Unterrichtskompetenz, der erzieherischen Kompetenz und der Handlungs- und Sachkompetenz.</w:t>
      </w:r>
    </w:p>
    <w:p>
      <w:r>
        <w:t xml:space="preserve">Dabei werden die Note der schriftlichen Hausarbeit einfach, die Durchschnittsnote der Prüfungslehrproben fünffach, die nach § 19 Abs. 3 ermittelte Durchschnittsnote aus den Noten der Unterrichtskompetenz, der erzieherischen Kompetenz und der Handlungs- und Sachkompetenz dreifach und die Noten für die übrigen Leistungen je zweifach gewichtet; der Teiler für die Ermittlung der Gesamtnote ist dreizehn. Im Fall des § 7 Abs. 1 geht nur die für den ergänzenden Vorbereitungsdienst nach § 19 Abs. 3 ermittelte Durchschnittsnote aus den Noten der Unterrichtskompetenz, der erzieherischen Kompetenz und der Handlungs- und Sachkompetenz in die Ermittlung der Gesamtnote ein.</w:t>
      </w:r>
    </w:p>
    <w:p>
      <w:r>
        <w:rPr>
          <w:color w:val="555555"/>
          <w:sz w:val="17"/>
        </w:rPr>
        <w:t xml:space="preserve">Zitiervorschlag: § 20 ZAPO-F II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https://recht.nulegal.eu/gesetze/ZAPO-F%20II/20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