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ZAPO-F I (Bayern) — Aufnahmevoraussetzungen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Aufnahme in das Staatsinstitut erfordert</w:t>
      </w:r>
    </w:p>
    <w:p>
      <w:r>
        <w:t xml:space="preserve">1. einen mittleren Schulabschluss,</w:t>
      </w:r>
    </w:p>
    <w:p>
      <w:r>
        <w:t xml:space="preserve">2. die gesundheitliche Eignung für die Ausbildung zum Fachlehrer oder zur Fachlehrerin, die auf Verlangen durch Vorlage eines fachärztlichen oder amtsärztlichen Gutachtens nachzuweisen ist, und</w:t>
      </w:r>
    </w:p>
    <w:p>
      <w:r>
        <w:t xml:space="preserve">3. Bestehen eines Eignungstests gemäß § 6.</w:t>
      </w:r>
    </w:p>
    <w:p>
      <w:r>
        <w:t xml:space="preserve">Die Kosten für ärztliche Gutachten hat die Bewerberin oder der Bewerber zu tragen.</w:t>
      </w:r>
    </w:p>
    <w:p>
      <w:r>
        <w:t xml:space="preserve">(2) Erforderlich ist zusätzlich für die Fächerverbindung</w:t>
      </w:r>
    </w:p>
    <w:p>
      <w:r>
        <w:t xml:space="preserve">1. Ernährung und Gestaltung ein erfolgreicher Berufsabschluss</w:t>
      </w:r>
    </w:p>
    <w:p>
      <w:r>
        <w:t xml:space="preserve">a) als Hauswirtschafter oder Hauswirtschafterin,</w:t>
      </w:r>
    </w:p>
    <w:p>
      <w:r>
        <w:t xml:space="preserve">b) als Assistent für Ernährung und Versorgung oder Assistentin für Ernährung und Versorgung,</w:t>
      </w:r>
    </w:p>
    <w:p>
      <w:r>
        <w:t xml:space="preserve">c) als Diätassistent oder Diätassistentin oder</w:t>
      </w:r>
    </w:p>
    <w:p>
      <w:r>
        <w:t xml:space="preserve">d) in einem handwerklichen Ausbildungsberuf mit gestalterischem Schwerpunkt in den Bereichen Mode, Keramik-, Holz- oder Flechtwerkgestaltung,</w:t>
      </w:r>
    </w:p>
    <w:p>
      <w:r>
        <w:t xml:space="preserve">2. Englisch und Sport sowie Englisch und Informationstechnik ein</w:t>
      </w:r>
    </w:p>
    <w:p>
      <w:r>
        <w:t xml:space="preserve">a) erfolgreicher Berufsabschluss als staatlich geprüfter Fremdsprachenkorrespondent oder staatlich geprüfte Fremdsprachenkorrespondentin mit Englisch als erster Fremdsprache oder</w:t>
      </w:r>
    </w:p>
    <w:p>
      <w:r>
        <w:t xml:space="preserve">b) Abschluss als Diplomdolmetscher oder Diplomdolmetscherin mit dem Fach Englisch,</w:t>
      </w:r>
    </w:p>
    <w:p>
      <w:r>
        <w:t xml:space="preserve">3. Musik und Informationstechnik</w:t>
      </w:r>
    </w:p>
    <w:p>
      <w:r>
        <w:t xml:space="preserve">a) ein Abschluss einer Berufsfachschule für Musik als staatlich geprüfter Ensembleleiter/Chorleiter/Kirchenmusiker oder staatlich geprüfte Ensembleleiterin/Chorleiterin/Kirchenmusikerin in den Fachrichtungen Klassik, Rock/Pop/Jazz, Musical, Volksmusik oder Kirchenmusik C-Prüfung,</w:t>
      </w:r>
    </w:p>
    <w:p>
      <w:r>
        <w:t xml:space="preserve">b) eine anderweitig abgelegte C-Prüfung oder</w:t>
      </w:r>
    </w:p>
    <w:p>
      <w:r>
        <w:t xml:space="preserve">c) der Bachelor of Music an den kirchlichen und staatlichen Hochschulen,</w:t>
      </w:r>
    </w:p>
    <w:p>
      <w:r>
        <w:t xml:space="preserve">4. Sport und Informationstechnik ein erfolgreicher Berufsabschluss als</w:t>
      </w:r>
    </w:p>
    <w:p>
      <w:r>
        <w:t xml:space="preserve">a) Sportlehrer oder Sportlehrerin im freien Beruf oder</w:t>
      </w:r>
    </w:p>
    <w:p>
      <w:r>
        <w:t xml:space="preserve">b) Sportwissenschaftler, der in seinem oder Sportwissenschaftlerin, die in ihrem Studium eine sportpraktische Ausbildung in den lehrplanrelevanten Grundsportarten nachweisen kann.</w:t>
      </w:r>
    </w:p>
    <w:p>
      <w:r>
        <w:t xml:space="preserve">Das Staatsministerium kann für die Aufnahme im Einzelfall andere Berufs- oder Studienabschlüsse gegebenenfalls ergänzt durch förderliche Berufstätigkeiten als gleichwertig anerkennen.</w:t>
      </w:r>
    </w:p>
    <w:p>
      <w:r>
        <w:t xml:space="preserve">(3) Die Aufnahme für die Ausbildung in einem Erweiterungsfach setzt den erfolgreichen Abschluss der Ausbildung für eine Fächerverbindung nach § 2 Abs. 2 voraus.</w:t>
      </w:r>
    </w:p>
    <w:p>
      <w:r>
        <w:rPr>
          <w:color w:val="555555"/>
          <w:sz w:val="17"/>
        </w:rPr>
        <w:t xml:space="preserve">Zitiervorschlag: § 4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