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ZALS (Bayern) — Aufbau der Studienseminare</w:t>
      </w:r>
    </w:p>
    <w:p>
      <w:r>
        <w:rPr>
          <w:color w:val="555555"/>
          <w:sz w:val="18"/>
        </w:rPr>
        <w:t xml:space="preserve">Zulassungs- und Ausbildungsordnung für das Lehramt für Sonderpädagogik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Regierungen richten mit Zustimmung des Staatsministeriums für sonderpädagogische Fachrichtungen eines oder mehrere Studienseminare ein. Erforderlichenfalls können mehrere sonderpädagogische Fachrichtungen zu einem Studienseminar zusammengefaßt werden.</w:t>
      </w:r>
    </w:p>
    <w:p>
      <w:r>
        <w:t xml:space="preserve">(2) Das Studienseminar besteht aus mindestens einem Seminar. Es kann sich auch in mehrere Seminare – gegebenenfalls mit je einem besonderen Schwerpunkt – gliedern.</w:t>
      </w:r>
    </w:p>
    <w:p>
      <w:r>
        <w:rPr>
          <w:color w:val="555555"/>
          <w:sz w:val="17"/>
        </w:rPr>
        <w:t xml:space="preserve">Zitiervorschlag: § 9 ZALS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https://recht.nulegal.eu/gesetze/ZALS/9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