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ZALS (Bayern) — Leiter eines Seminars</w:t>
      </w:r>
    </w:p>
    <w:p>
      <w:r>
        <w:rPr>
          <w:color w:val="555555"/>
          <w:sz w:val="18"/>
        </w:rPr>
        <w:t xml:space="preserve">Zulassungs- und Ausbildungsordnung für das Lehramt für Sonderpädagogik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Seminarleiter leitet ein Seminar einer sonderpädagogischen Fachrichtung im Sinn von § 9 Abs. 2.</w:t>
      </w:r>
    </w:p>
    <w:p>
      <w:r>
        <w:t xml:space="preserve">(2) Im Besonderen obliegen dem Seminarleiter folgende Aufgaben:</w:t>
      </w:r>
    </w:p>
    <w:p>
      <w:r>
        <w:t xml:space="preserve">1. Planung der Seminararbeit, Gestaltung und Durchführung der Seminarveranstaltungen,</w:t>
      </w:r>
    </w:p>
    <w:p>
      <w:r>
        <w:t xml:space="preserve">2. Beratung im Unterricht und in allen weiteren Tätigkeitsfeldern, in denen die Studienreferendare im Praktikum oder eigenverantwortlich arbeiten; im Rahmen von Beratungsbesuchen werden die vorgeschriebenen Unterrichtsvorbereitungen und das amtliche Schriftwesen vom Seminarleiter eingesehen und beurteilt,</w:t>
      </w:r>
    </w:p>
    <w:p>
      <w:r>
        <w:t xml:space="preserve">3. Zusammenarbeit mit den Schulleitern und den Betreuungslehrern,</w:t>
      </w:r>
    </w:p>
    <w:p>
      <w:r>
        <w:t xml:space="preserve">4. Mitwirkung bei der Auswahl der Betreuungslehrer und bei der Fortbildung aller an der Ausbildung Beteiligten,</w:t>
      </w:r>
    </w:p>
    <w:p>
      <w:r>
        <w:t xml:space="preserve">5. Zusammenarbeit mit Studienseminaren anderer Lehrämter, insbesondere im Hinblick auf Inklusion.</w:t>
      </w:r>
    </w:p>
    <w:p>
      <w:r>
        <w:t xml:space="preserve">(3) Die Seminarleiter jeder sonderpädagogischen Fachrichtung kooperieren mit den entsprechenden Fachvertretungen der Universitäten, insbesondere mit den sonderpädagogischen Lehrstühlen.</w:t>
      </w:r>
    </w:p>
    <w:p>
      <w:r>
        <w:t xml:space="preserve">(4) Dienstsitz des Seminarleiters ist die Schule, an der er unterrichtet.</w:t>
      </w:r>
    </w:p>
    <w:p>
      <w:r>
        <w:rPr>
          <w:color w:val="555555"/>
          <w:sz w:val="17"/>
        </w:rPr>
        <w:t xml:space="preserve">Zitiervorschlag: § 12 ZALS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https://recht.nulegal.eu/gesetze/ZALS/12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