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ZALGM (Bayern) — Stellvertretende Leitung des Studienseminars</w:t>
      </w:r>
    </w:p>
    <w:p>
      <w:r>
        <w:rPr>
          <w:color w:val="555555"/>
          <w:sz w:val="18"/>
        </w:rPr>
        <w:t xml:space="preserve">Zulassungs- und Ausbildungsordnung für das Lehramt an Grundschulen und das Lehramt an Mittelschulen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stellvertretende Leitung des Studienseminars hat ein Seminarrektor oder eine Seminarrektorin inne. Sie unterstützt die Leitung des Studienseminars in der Wahrnehmung ihrer Aufgaben nach § 11 Abs. 1 Satz 1 und Abs. 2 und vertritt sie insoweit im Fall der Verhinderung. § 11 Abs. 1 Satz 2 und Abs. 3 gelten entsprechend.</w:t>
      </w:r>
    </w:p>
    <w:p>
      <w:r>
        <w:rPr>
          <w:color w:val="555555"/>
          <w:sz w:val="17"/>
        </w:rPr>
        <w:t xml:space="preserve">Zitiervorschlag: § 12 ZALGM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https://recht.nulegal.eu/gesetze/ZALGM/12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