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ZALGM (Bayern) — Leitung des Studienseminars</w:t>
      </w:r>
    </w:p>
    <w:p>
      <w:r>
        <w:rPr>
          <w:color w:val="555555"/>
          <w:sz w:val="18"/>
        </w:rPr>
        <w:t xml:space="preserve">Zulassungs- und Ausbildungsordnung für das Lehramt an Grundschulen und das Lehramt an Mittelschulen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Leitung des Studienseminars ist für die gesamte Arbeit des Studienseminars verantwortlich. Sie leitet ein Seminar.</w:t>
      </w:r>
    </w:p>
    <w:p>
      <w:r>
        <w:t xml:space="preserve">(2) Im besonderen obliegen der Leitung des Studienseminars folgende Aufgaben:</w:t>
      </w:r>
    </w:p>
    <w:p>
      <w:r>
        <w:t xml:space="preserve">1. Koordination der Arbeit der Seminare,</w:t>
      </w:r>
    </w:p>
    <w:p>
      <w:r>
        <w:t xml:space="preserve">2. Koordination und Betreuung des Praktikums (§ 19) sowie Mitwirkung bei der Auswahl von Betreuungslehrkräften,</w:t>
      </w:r>
    </w:p>
    <w:p>
      <w:r>
        <w:t xml:space="preserve">3. Mitwirkung bei der Fortbildung aller an der Ausbildung Beteiligten, einschließlich der Einführung neu ernannter Seminarrektoren und Seminarrektorinnen,</w:t>
      </w:r>
    </w:p>
    <w:p>
      <w:r>
        <w:t xml:space="preserve">4. Zusammenarbeit mit Studienseminaren anderer Lehrämter und mit Fachvertretungen der Universitäten.</w:t>
      </w:r>
    </w:p>
    <w:p>
      <w:r>
        <w:t xml:space="preserve">(3) Dienstsitz der Leitung des Studienseminars ist die Schule, an der sie unterrichtet.</w:t>
      </w:r>
    </w:p>
    <w:p>
      <w:r>
        <w:rPr>
          <w:color w:val="555555"/>
          <w:sz w:val="17"/>
        </w:rPr>
        <w:t xml:space="preserve">Zitiervorschlag: § 11 ZALGM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https://recht.nulegal.eu/gesetze/ZALGM/11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