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ZALGM (Bayern) — Aufbau der Studienseminare für das Lehramt an Grundschulen und das Lehramt an Mittelschulen</w:t>
      </w:r>
    </w:p>
    <w:p>
      <w:r>
        <w:rPr>
          <w:color w:val="555555"/>
          <w:sz w:val="18"/>
        </w:rPr>
        <w:t xml:space="preserve">Zulassungs- und Ausbildungsordnung für das Lehramt an Grundschulen und das Lehramt an Mittelschulen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Studienseminare werden von den Regierungen mit Zustimmung des Staatsministeriums eingerichtet. Sie gliedern sich in Seminare, die von Seminarrektoren oder Seminarrektorinnen geleitet werden.</w:t>
      </w:r>
    </w:p>
    <w:p>
      <w:r>
        <w:t xml:space="preserve">(2) Die Leitung des Studienseminars hat jeweils ein Seminarrektor oder eine Seminarrektorin mit besonderen fachlichen und organisatorischen Aufgaben inne.</w:t>
      </w:r>
    </w:p>
    <w:p>
      <w:r>
        <w:rPr>
          <w:color w:val="555555"/>
          <w:sz w:val="17"/>
        </w:rPr>
        <w:t xml:space="preserve">Zitiervorschlag: § 10 ZALGM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https://recht.nulegal.eu/gesetze/ZALGM/10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