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ZALBV (Bayern)</w:t>
      </w:r>
    </w:p>
    <w:p>
      <w:r>
        <w:rPr>
          <w:color w:val="555555"/>
          <w:sz w:val="18"/>
        </w:rPr>
        <w:t xml:space="preserve">Verordnung Zulassungs- und Ausbildungsordnung berufliche Schulen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24. Juli 2018</w:t>
      </w:r>
    </w:p>
    <w:p>
      <w:r>
        <w:t xml:space="preserve">Bayerisches Staatsministerium</w:t>
      </w:r>
    </w:p>
    <w:p>
      <w:r>
        <w:t xml:space="preserve">für Unterricht und Kultus</w:t>
      </w:r>
    </w:p>
    <w:p>
      <w:r>
        <w:t xml:space="preserve">Bernd Sibler, Staatsminister</w:t>
      </w:r>
    </w:p>
    <w:p>
      <w:r>
        <w:rPr>
          <w:color w:val="555555"/>
          <w:sz w:val="17"/>
        </w:rPr>
        <w:t xml:space="preserve">Zitiervorschlag: Schlussformel ZALBV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https://recht.nulegal.eu/gesetze/ZALBV/schlussformel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