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ZALBV (Bayern) — Inkrafttreten, Außerkrafttreten</w:t>
      </w:r>
    </w:p>
    <w:p>
      <w:r>
        <w:rPr>
          <w:color w:val="555555"/>
          <w:sz w:val="18"/>
        </w:rPr>
        <w:t xml:space="preserve">Verordnung Zulassungs- und Ausbildungsordnung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2018 in Kraft.</w:t>
      </w:r>
    </w:p>
    <w:p>
      <w:r>
        <w:t xml:space="preserve">(2) § 1a tritt mit Ablauf des 6. September 2032 außer Kraft.</w:t>
      </w:r>
    </w:p>
    <w:p>
      <w:r>
        <w:rPr>
          <w:color w:val="555555"/>
          <w:sz w:val="17"/>
        </w:rPr>
        <w:t xml:space="preserve">Zitiervorschlag: § 12 ZALBV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https://recht.nulegal.eu/gesetze/ZALBV/12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