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ZAGMonAwV — Inkrafttreten</w:t>
      </w:r>
    </w:p>
    <w:p>
      <w:r>
        <w:rPr>
          <w:color w:val="555555"/>
          <w:sz w:val="18"/>
        </w:rPr>
        <w:t xml:space="preserve">ZAG-Monatsausweisverordnung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31. Oktober 2009 in Kraft.</w:t>
      </w:r>
    </w:p>
    <w:p>
      <w:r>
        <w:rPr>
          <w:color w:val="555555"/>
          <w:sz w:val="17"/>
        </w:rPr>
        <w:t xml:space="preserve">Zitiervorschlag: § 6 ZAGMonAwV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https://recht.nulegal.eu/gesetze/ZAGMonAwV/6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