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ZAGMonAwV — Einreichungsverfahren und Einreichungstermin</w:t>
      </w:r>
    </w:p>
    <w:p>
      <w:r>
        <w:rPr>
          <w:color w:val="555555"/>
          <w:sz w:val="18"/>
        </w:rPr>
        <w:t xml:space="preserve">ZAG-Monatsausweisverordnung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Monatsausweise und die weiteren Angaben nach § 3 sind von den Instituten mit den folgenden Formularen einzureichen:</w:t>
      </w:r>
    </w:p>
    <w:p>
      <w:pPr>
        <w:ind w:left="420"/>
      </w:pPr>
      <w:r>
        <w:t xml:space="preserve">1. Monatsausweis gemäß § 29 Absatz 1 Satz 1 ZAG– Vermögensstatus –:STZAG (Anlage 1),</w:t>
      </w:r>
    </w:p>
    <w:p>
      <w:pPr>
        <w:ind w:left="420"/>
      </w:pPr>
      <w:r>
        <w:t xml:space="preserve">2. Monatsausweis gemäß § 29 Absatz 1 Satz 1 ZAG– Gewinn- und Verlustrechnung –:GVZAG (Anlage 2),</w:t>
      </w:r>
    </w:p>
    <w:p>
      <w:pPr>
        <w:ind w:left="420"/>
      </w:pPr>
      <w:r>
        <w:t xml:space="preserve">3. weitere Angaben gemäß § 3 ZAGMonAwV– Weitere Angaben –:WAZAG (Anlage 3).</w:t>
      </w:r>
    </w:p>
    <w:p>
      <w:r>
        <w:t xml:space="preserve">Institute, die zugleich Kreditinstitut im Sinne des § 1 Absatz 1 Satz 1 des Kreditwesengesetzes sind und Finanzinformationen nach Maßgabe des § 25 des Kreditwesengesetzes in Verbindung mit der Finanz- und Risikotragfähigkeitsverordnung einzureichen haben, haben anstelle der in Satz 1 Nummer 1 und 2 genannten Formulare die Formulare aus den Anlagen 4 und 5 (ESTZAG und EGVZAG) zu verwenden; die Pflicht zur Verwendung des Formulars aus der Anlage 3 (WAZAG) bleibt daneben bestehen.</w:t>
      </w:r>
    </w:p>
    <w:p>
      <w:r>
        <w:t xml:space="preserve">(2) Die Monatsausweise sowie die weiteren Angaben nach § 3 sind der Deutschen Bundesbank jeweils nach dem Stand zum Ende des Berichtszeitraums bis zum 20. Geschäftstag des Folgemonats einzureichen.</w:t>
      </w:r>
    </w:p>
    <w:p>
      <w:r>
        <w:t xml:space="preserve">(3) Die Monatsausweise sowie die weiteren Angaben nach § 3 sind im papierlosen Verfahren der Deutschen Bundesbank einzureichen. Die Deutsche Bundesbank veröffentlicht auf ihrer Internetseite die für eine Dateneinreichung im Wege der Datenfernübertragung zu verwendenden Satzformate und den Einreichungsweg.</w:t>
      </w:r>
    </w:p>
    <w:p>
      <w:r>
        <w:rPr>
          <w:color w:val="555555"/>
          <w:sz w:val="17"/>
        </w:rPr>
        <w:t xml:space="preserve">Zitiervorschlag: § 5 ZAGMonAwV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https://recht.nulegal.eu/gesetze/ZAGMonAwV/5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