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ZAGMonAwV — Weitere Angaben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weiteren Angaben sind im Falle</w:t>
      </w:r>
    </w:p>
    <w:p>
      <w:pPr>
        <w:ind w:left="420"/>
      </w:pPr>
      <w:r>
        <w:t xml:space="preserve">1. der Ausgabe von E-Geld nach § 1 Absatz 2 Satz 2 des Zahlungsdiensteaufsichtsgesetzes der durchschnittliche E-Geld-Umlauf im Sinne des § 1 Absatz 14 des Zahlungsdiensteaufsichtsgesetzes am Ende des Berichtszeitraums und die Anzahl der ausgegebenen E-Geld-Instrumente;</w:t>
      </w:r>
    </w:p>
    <w:p>
      <w:pPr>
        <w:ind w:left="420"/>
      </w:pPr>
      <w:r>
        <w:t xml:space="preserve">2. des Erbringens von</w:t>
      </w:r>
    </w:p>
    <w:p>
      <w:pPr>
        <w:ind w:left="780"/>
      </w:pPr>
      <w:r>
        <w:t xml:space="preserve">a) Zahlungsdiensten nach § 1 Absatz 1 Satz 2 Nummer 1 bis 6 des Zahlungsdiensteaufsichtsgesetzes das Zahlungsvolumen, die Anzahl der Zahlungsvorgänge und die Anzahl der ausgegebenen Zahlungsinstrumente,</w:t>
      </w:r>
    </w:p>
    <w:p>
      <w:pPr>
        <w:ind w:left="780"/>
      </w:pPr>
      <w:r>
        <w:t xml:space="preserve">b) Zahlungsauslösediensten nach § 1 Absatz 1 Satz 2 Nummer 7 des Zahlungsdiensteaufsichtsgesetzes der Wert der eingegangenen Erstattungsbegehren, die Anzahl der ausgelösten Zahlungsvorgänge und der Gesamtwert der ausgelösten Zahlungsvorgänge,</w:t>
      </w:r>
    </w:p>
    <w:p>
      <w:pPr>
        <w:ind w:left="780"/>
      </w:pPr>
      <w:r>
        <w:t xml:space="preserve">c) Kontoinformationsdiensten nach § 1 Absatz 1 Satz 2 Nummer 8 des Zahlungsdiensteaufsichtsgesetzes der Wert der eingegangenen Erstattungsbegehren, die Anzahl der Zahlungskonten, auf die zugegriffen wurde, und die Gesamtzahl der Kunden, die Kontoinformationsdienste nutzen.</w:t>
      </w:r>
    </w:p>
    <w:p>
      <w:r>
        <w:t xml:space="preserve">(2) Die weiteren Angaben nach Absatz 1 Nummer 2 Buchstabe a erstrecken sich zusätzlich auf die Anzahl und den Gesamtbetrag der Rückbelastungen. Sie sind ferner, soweit sie das Finanztransfergeschäft nach § 1 Absatz 1 Satz 2 Nummer 6 des Zahlungsdiensteaufsichtsgesetzes betreffen, bezogen auf den Zahlungsempfänger in die verschiedenen Zahlungsrichtungen zu untergliedern.</w:t>
      </w:r>
    </w:p>
    <w:p>
      <w:r>
        <w:rPr>
          <w:color w:val="555555"/>
          <w:sz w:val="17"/>
        </w:rPr>
        <w:t xml:space="preserve">Zitiervorschlag: § 3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