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ZAGMonAwV — Art und Umfang des Monatsausweises</w:t>
      </w:r>
    </w:p>
    <w:p>
      <w:r>
        <w:rPr>
          <w:color w:val="555555"/>
          <w:sz w:val="18"/>
        </w:rPr>
        <w:t xml:space="preserve">ZAG-Monatsausweisverordnung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Monatsausweis besteht aus einem Vermögensstatus bezogen auf das Ende des jeweiligen Berichtszeitraums und einer Gewinn- und Verlustrechnung, die den Zeitraum seit dem Ende des letzten Geschäftsjahres umfasst.</w:t>
      </w:r>
    </w:p>
    <w:p>
      <w:r>
        <w:rPr>
          <w:color w:val="555555"/>
          <w:sz w:val="17"/>
        </w:rPr>
        <w:t xml:space="preserve">Zitiervorschlag: § 2 ZAGMonAwV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https://recht.nulegal.eu/gesetze/ZAGMonAwV/2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