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ZAGMonAwV — Anwendungsbereich; Befugnisse der Bundesanstalt</w:t>
      </w:r>
    </w:p>
    <w:p>
      <w:r>
        <w:rPr>
          <w:color w:val="555555"/>
          <w:sz w:val="18"/>
        </w:rPr>
        <w:t xml:space="preserve">ZAG-Monatsausweisverordnung</w:t>
      </w:r>
    </w:p>
    <w:p>
      <w:r>
        <w:rPr>
          <w:color w:val="555555"/>
          <w:sz w:val="18"/>
        </w:rPr>
        <w:t xml:space="preserve">Stand: 10.06.2019 (konsolidierte Textfassung, kein amtliches Inkrafttretensdatum)</w:t>
      </w:r>
    </w:p>
    <w:p>
      <w:r>
        <w:t xml:space="preserve">(1) Monatsausweise sowie die weiteren Angaben nach dieser Verordnung sind von allen Instituten im Sinne des Zahlungsdiensteaufsichtsgesetzes einzureichen. Abweichend von Satz 1 sind von Zahlungsinstituten, die als Zahlungsdienst nur den Kontoinformationsdienst nach § 1 Absatz 1 Satz 2 Nummer 8 des Zahlungsdiensteaufsichtsgesetzes anbieten, lediglich die weiteren Angaben nach § 3 Absatz 1 Nummer 2 Buchstabe c einzureichen.</w:t>
      </w:r>
    </w:p>
    <w:p>
      <w:r>
        <w:t xml:space="preserve">(2) Die Bundesanstalt für Finanzdienstleistungsaufsicht (Bundesanstalt) kann, soweit dies zur Erfüllung ihrer Aufgaben erforderlich ist, gegenüber den Instituten im Sinne des Zahlungsdiensteaufsichtsgesetzes Anordnungen über die Aufstellung und den Inhalt der Monatsausweise sowie über die weiteren Angaben nach § 3 dieser Verordnung erlassen.</w:t>
      </w:r>
    </w:p>
    <w:p>
      <w:r>
        <w:rPr>
          <w:color w:val="555555"/>
          <w:sz w:val="17"/>
        </w:rPr>
        <w:t xml:space="preserve">Zitiervorschlag: § 1 ZAGMonAwV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https://recht.nulegal.eu/gesetze/ZAGMonAwV/1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