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ZAGAnzV</w:t>
      </w:r>
    </w:p>
    <w:p>
      <w:r>
        <w:rPr>
          <w:color w:val="555555"/>
          <w:sz w:val="18"/>
        </w:rPr>
        <w:t xml:space="preserve">ZAG-Anzeigenverordnung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 Absatz 2 Satz 1 und 3 sowie des § 29 Absatz 2 Satz 1 und 3 des Zahlungsdiensteaufsichtsgesetzes vom 25. Juni 2009 (BGBl. I S. 1506) verordnet das Bundesministerium der Finanzen im Benehmen mit der Deutschen Bundesbank nach Anhörung der Verbände der Zahlungsinstitute:</w:t>
      </w:r>
    </w:p>
    <w:p>
      <w:r>
        <w:rPr>
          <w:color w:val="555555"/>
          <w:sz w:val="17"/>
        </w:rPr>
        <w:t xml:space="preserve">Zitiervorschlag: Eingangsformel ZAGAnzV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https://recht.nulegal.eu/gesetze/ZAGAnzV/eingangsformel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