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ZAGAnzV — Anzeigen nach § 14 Absatz 1 Satz 2 des Zahlungsdiensteaufsichtsgesetzes (Erwerb oder Erhöhung einer bedeutenden Beteiligung)</w:t>
      </w:r>
    </w:p>
    <w:p>
      <w:r>
        <w:rPr>
          <w:color w:val="555555"/>
          <w:sz w:val="18"/>
        </w:rPr>
        <w:t xml:space="preserve">ZAG-Anzeigenverordnung</w:t>
      </w:r>
    </w:p>
    <w:p>
      <w:r>
        <w:rPr>
          <w:color w:val="555555"/>
          <w:sz w:val="18"/>
        </w:rPr>
        <w:t xml:space="preserve">Stand: 10.06.2019 (konsolidierte Textfassung, kein amtliches Inkrafttretensdatum)</w:t>
      </w:r>
    </w:p>
    <w:p>
      <w:r>
        <w:t xml:space="preserve">(1) Auf die Anzeigen nach § 14 Absatz 1 Satz 2 des Zahlungsdiensteaufsichtsgesetzes sind § 2 Absatz 1 und 3 sowie die §§ 3 bis 5 und 7 bis 16 der Inhaberkontrollverordnung mit der Maßgabe anzuwenden, dass an die Stelle der dort genannten Zielunternehmen das Institut tritt.</w:t>
      </w:r>
    </w:p>
    <w:p>
      <w:r>
        <w:t xml:space="preserve">(2) Die Absicht</w:t>
      </w:r>
    </w:p>
    <w:p>
      <w:pPr>
        <w:ind w:left="420"/>
      </w:pPr>
      <w:r>
        <w:t xml:space="preserve">1. des Erwerbs einer bedeutenden Beteiligung nach § 14 Absatz 1 Satz 2 des Zahlungsdiensteaufsichtsgesetzes in Verbindung mit § 2c Absatz 1 Satz 1 des Kreditwesengesetzes oder</w:t>
      </w:r>
    </w:p>
    <w:p>
      <w:pPr>
        <w:ind w:left="420"/>
      </w:pPr>
      <w:r>
        <w:t xml:space="preserve">2. der Erhöhung einer bedeutenden Beteiligung nach § 14 Absatz 1 Satz 2 des Zahlungsdiensteaufsichtsgesetzes in Verbindung mit § 2c Absatz 1 Satz 6 des Kreditwesengesetzes</w:t>
      </w:r>
    </w:p>
    <w:p>
      <w:r>
        <w:t xml:space="preserve">ist mit dem Formular „Erwerb-Erhöhung“ der Anlage 1 dieser Verordnung anzuzeigen. Bei komplexen Beteiligungsstrukturen ist der Anzeige zusätzlich das Formular „Komplexe Beteiligungsstrukturen“ der Anlage 2 dieser Verordnung sowie ein Schaubild der beabsichtigten Beteiligungsstruktur unter Angabe der jeweils gehaltenen Kapital- und Stimmrechtsanteile in Prozent beizufügen. Komplexe Beteiligungsstrukturen liegen insbesondere vor bei Beteiligungen, die gleichzeitig unmittelbar und mittelbar über ein oder mehrere Unternehmen, über mehrere Beteiligungsketten, im Zusammenwirken mit anderen, über Treuhandverhältnisse oder in anderen Fällen der Zurechnung von Stimmrechtsanteilen nach § 1 Absatz 9 Satz 2 und 3 des Kreditwesengesetzes in Verbindung mit § 34 Absatz 1 und 2 und § 35 des Wertpapierhandelsgesetzes gehalten werden. Die Absichtsanzeigen sind vollständig im Sinne des § 14 Absatz 1 Satz 2 des Zahlungsdiensteaufsichtsgesetzes in Verbindung mit § 2c Absatz 1 Satz 7 und Absatz 1a Satz 1 des Kreditwesengesetzes, wenn das Formular nach Satz 1 vollständig ausgefüllt ist und alle erforderlichen Anlagen beigefügt sind. Können nicht alle erforderlichen Anlagen beigefügt werden, sind die Gründe hierfür anzugeben und die fehlenden Anlagen unverzüglich nachzureichen. Erst mit deren Eingang gelten die Absichtsanzeigen als vollständig. Eine Anzeige gilt für die Zwecke des § 14 Absatz 1 des Zahlungsdiensteaufsichtsgesetzes in Verbindung mit § 2c Absatz 1 Satz 7 des Kreditwesengesetzes als vollständig eingegangen, wenn sie bei der Bundesanstalt vollständig eingegangen ist.</w:t>
      </w:r>
    </w:p>
    <w:p>
      <w:r>
        <w:t xml:space="preserve">(3) Ist der Anzeigepflichtige ein Institut mit Sitz im Inland, sind den Absichtsanzeigen keine Unterlagen und Erklärungen entsprechend § 8 Nummer 1 bis 5 und den §§ 9 bis 14 der Inhaberkontrollverordnung beizufügen. Ist der Anzeigepflichtige ein in einem Mitgliedstaat der Europäischen Union oder einem anderen Vertragsstaat des Abkommens über den Europäischen Wirtschaftsraum zugelassenes Institut, sind den Absichtsanzeigen keine Unterlagen und Erklärungen entsprechend den §§ 9 und 10 der Inhaberkontrollverordnung beizufügen.</w:t>
      </w:r>
    </w:p>
    <w:p>
      <w:r>
        <w:t xml:space="preserve">(4) Der Inhaber einer bedeutenden Beteiligung hat jeden neu bestellten gesetzlichen oder satzungsmäßigen Vertreter oder neuen persönlich haftenden Gesellschafter mit den für die Beurteilung von dessen Zuverlässigkeit wesentlichen Tatsachen entsprechend des § 18 der Inhaberkontrollverordnung anzuzeigen. Das Ausscheiden eines gesetzlichen oder satzungsmäßigen Vertreters oder eines persönlich haftenden Gesellschafters ist ebenfalls anzuzeigen.</w:t>
      </w:r>
    </w:p>
    <w:p>
      <w:r>
        <w:rPr>
          <w:color w:val="555555"/>
          <w:sz w:val="17"/>
        </w:rPr>
        <w:t xml:space="preserve">Zitiervorschlag: § 4 ZAGAnzV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https://recht.nulegal.eu/gesetze/ZAGAnzV/4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