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ZAGAnzV — Mitteilungen nach § 10 Absatz 5 und § 11 Absatz 4 des Zahlungsdiensteaufsichtsgesetzes (Änderung der tatsächlichen oder rechtlichen Verhältnisse)</w:t>
      </w:r>
    </w:p>
    <w:p>
      <w:r>
        <w:rPr>
          <w:color w:val="555555"/>
          <w:sz w:val="18"/>
        </w:rPr>
        <w:t xml:space="preserve">ZAG-Anzeigenverordnung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Mitteilungen nach § 10 Absatz 5 und § 11 Absatz 4 des Zahlungsdiensteaufsichtsgesetzes sind im Falle der Änderung von gemäß § 10 Absatz 2 oder § 11 Absatz 2 des Zahlungsdiensteaufsichtsgesetzes eingereichten Unterlagen die geänderten Unterlagen beizufügen.</w:t>
      </w:r>
    </w:p>
    <w:p>
      <w:r>
        <w:t xml:space="preserve">(2) Für das Einreichungsverfahren gilt § 1 Absatz 1.</w:t>
      </w:r>
    </w:p>
    <w:p>
      <w:r>
        <w:rPr>
          <w:color w:val="555555"/>
          <w:sz w:val="17"/>
        </w:rPr>
        <w:t xml:space="preserve">Zitiervorschlag: § 3 ZAGAnzV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https://recht.nulegal.eu/gesetze/ZAGAnzV/3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