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ZAGAnzV — Unterlagen nach § 34 Absatz 1 Satz 2 bis 7 des Zahlungsdiensteaufsichtsgesetzes (Anträge auf Registrierung) und Mitteilungen nach § 34 Absatz 5 des Zahlungsdiensteaufsichtsgesetzes (Änderung der tatsächlichen oder rechtlichen Verhältnisse)</w:t>
      </w:r>
    </w:p>
    <w:p>
      <w:r>
        <w:rPr>
          <w:color w:val="555555"/>
          <w:sz w:val="18"/>
        </w:rPr>
        <w:t xml:space="preserve">ZAG-Anzeigenverordnung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Registrierungsanträge nach § 34 Absatz 1 Satz 2 bis 7 des Zahlungsdiensteaufsichtsgesetzes findet § 2 Absatz 1, 2 Satz 1, Absatz 3 und 4, 5 Satz 3, Absatz 7 bis 10, 12, 14, 16 und 17 dieser Verordnung und auf Mitteilungen der Änderung der tatsächlichen oder rechtlichen Verhältnisse nach § 34 Absatz 5 des Zahlungsdiensteaufsichtsgesetzes findet § 3 dieser Verordnung entsprechende Anwendung.</w:t>
      </w:r>
    </w:p>
    <w:p>
      <w:r>
        <w:rPr>
          <w:color w:val="555555"/>
          <w:sz w:val="17"/>
        </w:rPr>
        <w:t xml:space="preserve">Zitiervorschlag: § 16 ZAGAnzV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https://recht.nulegal.eu/gesetze/ZAGAnzV/16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